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spacing w:line="360" w:lineRule="auto"/>
      </w:pPr>
      <w:r>
        <w:rPr>
          <w:rFonts w:hint="eastAsia"/>
          <w:b/>
          <w:bCs/>
        </w:rPr>
        <w:t xml:space="preserve">基于多源传感数据的校园建筑能耗预测方法</w:t>
      </w:r>
    </w:p>
    <w:p>
      <w:pPr>
        <w:pStyle w:val="BodyText"/>
        <w:spacing w:line="360" w:lineRule="auto"/>
        <w:jc w:val="center"/>
      </w:pPr>
      <w:r>
        <w:rPr>
          <w:rFonts w:hint="eastAsia"/>
        </w:rPr>
        <w:t xml:space="preserve">刘晨</w:t>
      </w:r>
      <w:r>
        <w:rPr>
          <w:vertAlign w:val="superscript"/>
        </w:rPr>
        <w:t xml:space="preserve">1,*</w:t>
      </w:r>
      <w:r>
        <w:rPr>
          <w:rFonts w:hint="eastAsia"/>
        </w:rPr>
        <w:t xml:space="preserve">，赵凯</w:t>
      </w:r>
      <w:r>
        <w:rPr>
          <w:vertAlign w:val="superscript"/>
        </w:rPr>
        <w:t xml:space="preserve">1,2</w:t>
      </w:r>
    </w:p>
    <w:p>
      <w:pPr>
        <w:pStyle w:val="BodyText"/>
        <w:spacing w:line="360" w:lineRule="auto"/>
        <w:jc w:val="center"/>
      </w:pPr>
      <w:r>
        <w:rPr>
          <w:rFonts w:hint="eastAsia"/>
        </w:rPr>
        <w:t xml:space="preserve">（1.</w:t>
      </w:r>
      <w:r>
        <w:t xml:space="preserve"> </w:t>
      </w:r>
      <w:r>
        <w:rPr>
          <w:rFonts w:hint="eastAsia"/>
        </w:rPr>
        <w:t xml:space="preserve">江南理工大学能源与环境学院，江苏</w:t>
      </w:r>
      <w:r>
        <w:t xml:space="preserve"> </w:t>
      </w:r>
      <w:r>
        <w:rPr>
          <w:rFonts w:hint="eastAsia"/>
        </w:rPr>
        <w:t xml:space="preserve">无锡</w:t>
      </w:r>
      <w:r>
        <w:t xml:space="preserve"> </w:t>
      </w:r>
      <w:r>
        <w:rPr>
          <w:rFonts w:hint="eastAsia"/>
        </w:rPr>
        <w:t xml:space="preserve">214122；2.</w:t>
      </w:r>
      <w:r>
        <w:t xml:space="preserve"> </w:t>
      </w:r>
      <w:r>
        <w:rPr>
          <w:rFonts w:hint="eastAsia"/>
        </w:rPr>
        <w:t xml:space="preserve">江苏省建筑节能重点实验室，江苏</w:t>
      </w:r>
      <w:r>
        <w:t xml:space="preserve"> </w:t>
      </w:r>
      <w:r>
        <w:rPr>
          <w:rFonts w:hint="eastAsia"/>
        </w:rPr>
        <w:t xml:space="preserve">无锡</w:t>
      </w:r>
      <w:r>
        <w:t xml:space="preserve"> </w:t>
      </w:r>
      <w:r>
        <w:rPr>
          <w:rFonts w:hint="eastAsia"/>
        </w:rPr>
        <w:t xml:space="preserve">214122）</w:t>
      </w:r>
    </w:p>
    <w:p>
      <w:pPr>
        <w:pStyle w:val="BodyText"/>
        <w:spacing w:line="360" w:lineRule="auto"/>
      </w:pPr>
      <w:r>
        <w:rPr>
          <w:rFonts w:hint="eastAsia"/>
        </w:rPr>
        <w:t xml:space="preserve">摘要：针对校园建筑能耗数据来源异构、短期波动明显和预测结果可解释性不足的问题，提出一种融合环境、人员与设备信息的多源时序预测方法。首先在统一时间基准下对齐三类传感序列，建立包含缺失值插补、异常值剔除与采样频率归一的预处理流水线；然后利用门控循环网络提取时间依赖特征，引入变量级注意力机制量化各输入对预测的贡献；最后在某高校12栋教学建筑连续18个月的监测数据上开展验证。结果表明：所提方法的平均绝对百分比误差为6.8%，较LSTM基线下降18.4%，较线性回归下降36.4%；在寒潮与高温等极端气温条件下误差增幅不超过2.1个百分点，显著优于对比模型；注意力权重分析显示室外温度与人员在室率是短期负荷的主导因素。该方法可为校园能源调度和节能控制提供量化依据。</w:t>
      </w:r>
    </w:p>
    <w:p>
      <w:pPr>
        <w:pStyle w:val="BodyText"/>
        <w:spacing w:line="360" w:lineRule="auto"/>
      </w:pPr>
      <w:r>
        <w:rPr>
          <w:rFonts w:hint="eastAsia"/>
        </w:rPr>
        <w:t xml:space="preserve">关键词：建筑能耗；多源数据；时间序列；注意力机制；节能控制</w:t>
      </w:r>
    </w:p>
    <w:p>
      <w:pPr>
        <w:pStyle w:val="BodyText"/>
        <w:spacing w:line="360" w:lineRule="auto"/>
      </w:pPr>
      <w:r>
        <w:rPr>
          <w:rFonts w:hint="eastAsia"/>
        </w:rPr>
        <w:t xml:space="preserve">基金项目：国家自然科学基金青年项目“复杂建筑环境下的能耗预测与控制”（62504018）；江苏省重点研发计划项目“低碳校园综合能源管理关键技术”（BE2025107）</w:t>
      </w:r>
    </w:p>
    <w:p>
      <w:pPr>
        <w:pStyle w:val="BodyText"/>
        <w:spacing w:line="360" w:lineRule="auto"/>
      </w:pPr>
      <w:r>
        <w:rPr>
          <w:rFonts w:hint="eastAsia"/>
        </w:rPr>
        <w:t xml:space="preserve">作者简介：刘晨（1990—），女，江苏南京人，江南理工大学能源与环境学院副教授，博士，研究方向：建筑能源系统与机器学习；赵凯（1987—），男，山东济南人，江南理工大学能源与环境学院教授，博士，研究方向：建筑节能与智慧运维。</w:t>
      </w:r>
    </w:p>
    <w:p>
      <w:pPr>
        <w:pStyle w:val="BodyText"/>
        <w:spacing w:line="360" w:lineRule="auto"/>
      </w:pPr>
      <w:r>
        <w:rPr>
          <w:rFonts w:hint="eastAsia"/>
        </w:rPr>
        <w:t xml:space="preserve">通讯作者：刘晨</w:t>
      </w:r>
    </w:p>
    <w:p>
      <w:pPr>
        <w:pStyle w:val="BodyText"/>
        <w:spacing w:line="360" w:lineRule="auto"/>
      </w:pPr>
      <w:r>
        <w:rPr>
          <w:rFonts w:hint="eastAsia"/>
        </w:rPr>
        <w:t xml:space="preserve">电子邮箱：chen.liu@example.org</w:t>
      </w:r>
    </w:p>
    <w:p>
      <w:pPr>
        <w:pStyle w:val="BodyText"/>
        <w:spacing w:line="360" w:lineRule="auto"/>
      </w:pPr>
      <w:r>
        <w:rPr>
          <w:rFonts w:hint="eastAsia"/>
        </w:rPr>
        <w:t xml:space="preserve">ORCID：https://orcid.org/0000-0001-7654-3210</w:t>
      </w:r>
    </w:p>
    <w:p>
      <w:pPr>
        <w:pStyle w:val="BodyText"/>
        <w:spacing w:line="360" w:lineRule="auto"/>
      </w:pPr>
      <w:r>
        <w:rPr>
          <w:rFonts w:hint="eastAsia"/>
        </w:rPr>
        <w:t xml:space="preserve">通讯地址：江苏省无锡市科教园创新路88号，江南理工大学能源与环境学院（仅供编辑部联系，不进入公开论文）</w:t>
      </w:r>
    </w:p>
    <w:p>
      <w:pPr>
        <w:pStyle w:val="BodyText"/>
        <w:spacing w:line="360" w:lineRule="auto"/>
      </w:pPr>
      <w:r>
        <w:rPr>
          <w:rFonts w:hint="eastAsia"/>
        </w:rPr>
        <w:t xml:space="preserve">邮政编码：214122</w:t>
      </w:r>
    </w:p>
    <w:bookmarkStart w:id="9" w:name="引言"/>
    <w:p>
      <w:pPr>
        <w:pStyle w:val="Heading1"/>
        <w:spacing w:line="360" w:lineRule="auto"/>
      </w:pPr>
      <w:r>
        <w:rPr>
          <w:rFonts w:hint="eastAsia"/>
        </w:rPr>
        <w:t xml:space="preserve">引言</w:t>
      </w:r>
    </w:p>
    <w:p>
      <w:pPr>
        <w:pStyle w:val="FirstParagraph"/>
        <w:spacing w:line="360" w:lineRule="auto"/>
      </w:pPr>
      <w:r>
        <w:rPr>
          <w:rFonts w:hint="eastAsia"/>
        </w:rPr>
        <w:t xml:space="preserve">建筑运行能耗占我国社会总能耗的比例持续上升，校园建筑因使用时段集中、负荷波动剧烈，是节能调度的重点对象。建筑运行能耗受气象条件、人员活动和设备状态共同影响[1]，仅依靠单一电表序列难以解释课程调整、集中考试等场景引起的突发负荷，需要在统一时间基准下融合多源传感数据，这也是建筑节能领域的共识性判断[2]。</w:t>
      </w:r>
    </w:p>
    <w:p>
      <w:pPr>
        <w:pStyle w:val="BodyText"/>
        <w:spacing w:line="360" w:lineRule="auto"/>
        <w:ind w:firstLine="420"/>
      </w:pPr>
      <w:r>
        <w:rPr>
          <w:rFonts w:hint="eastAsia"/>
        </w:rPr>
        <w:t xml:space="preserve">现有能耗预测方法可分为物理模型法与数据驱动法两类。物理模型法基于建筑热工参数与设备特性建立仿真模型，可解释性强，但参数标定成本高，难以适应建筑用途的动态变化。数据驱动法直接从历史数据学习负荷模式，其中深度学习方法在中短期预测中表现突出，但存在两方面不足：一是多数研究仅使用电表与气象数据，未纳入人员与设备状态信息，对突发负荷的响应滞后；二是模型缺乏变量级的贡献解释，调度人员难以判断预测结果的可信度。</w:t>
      </w:r>
    </w:p>
    <w:p>
      <w:pPr>
        <w:pStyle w:val="BodyText"/>
        <w:spacing w:line="360" w:lineRule="auto"/>
        <w:ind w:firstLine="420"/>
      </w:pPr>
      <w:r>
        <w:rPr>
          <w:rFonts w:hint="eastAsia"/>
        </w:rPr>
        <w:t xml:space="preserve">针对上述问题，本文提出一种面向校园建筑的多源时序预测方法，主要贡献包括：（1）建立环境、人员、设备三类传感数据的统一预处理流水线，解决多源数据的时间对齐与质量控制问题；（2）在门控循环网络中引入变量级注意力机制，实现预测精度与可解释性的兼顾；（3）在12栋教学建筑18个月的实测数据上完成验证，并公开脱敏数据与训练代码以支持复现。</w:t>
      </w:r>
    </w:p>
    <w:bookmarkEnd w:id="9"/>
    <w:bookmarkStart w:id="13" w:name="材料与方法"/>
    <w:p>
      <w:pPr>
        <w:pStyle w:val="Heading1"/>
        <w:spacing w:line="360" w:lineRule="auto"/>
      </w:pPr>
      <w:r>
        <w:rPr>
          <w:rFonts w:hint="eastAsia"/>
        </w:rPr>
        <w:t xml:space="preserve">材料与方法</w:t>
      </w:r>
    </w:p>
    <w:bookmarkStart w:id="10" w:name="数据来源"/>
    <w:p>
      <w:pPr>
        <w:pStyle w:val="Heading2"/>
        <w:spacing w:line="360" w:lineRule="auto"/>
      </w:pPr>
      <w:r>
        <w:rPr>
          <w:rFonts w:hint="eastAsia"/>
        </w:rPr>
        <w:t xml:space="preserve">数据来源</w:t>
      </w:r>
    </w:p>
    <w:p>
      <w:pPr>
        <w:pStyle w:val="FirstParagraph"/>
        <w:spacing w:line="360" w:lineRule="auto"/>
      </w:pPr>
      <w:r>
        <w:rPr>
          <w:rFonts w:hint="eastAsia"/>
        </w:rPr>
        <w:t xml:space="preserve">实验数据采集自某高校教学区12栋建筑，时间跨度为2024年9月至2026年2月，共18个月。传感体系覆盖三类数据源：环境类包括室外温度、相对湿度、太阳辐照度与风速，由校园气象站提供；人员类包括各建筑无线网络连接数与门禁进出流量，经匿名化处理后按建筑聚合；设备类包括空调机组启停状态、运行频率与照明回路电流。所有序列的原始采样间隔为1—15</w:t>
      </w:r>
      <w:r>
        <w:t xml:space="preserve"> </w:t>
      </w:r>
      <w:r>
        <w:rPr>
          <w:rFonts w:hint="eastAsia"/>
        </w:rPr>
        <w:t xml:space="preserve">min不等，温度测量范围为</w:t>
      </w:r>
      <w:r>
        <w:t xml:space="preserve"> </w:t>
      </w:r>
      <m:oMath>
        <m:r>
          <m:rPr>
            <m:sty m:val="p"/>
          </m:rPr>
          <m:t>−</m:t>
        </m:r>
        <m:r>
          <m:t>20</m:t>
        </m:r>
        <m:r>
          <m:t> </m:t>
        </m:r>
        <m:sSup>
          <m:e>
            <m:r>
              <m:t>​</m:t>
            </m:r>
          </m:e>
          <m:sup>
            <m:r>
              <m:rPr>
                <m:sty m:val="p"/>
              </m:rPr>
              <m:t>∘</m:t>
            </m:r>
          </m:sup>
        </m:sSup>
        <m:r>
          <m:rPr>
            <m:sty m:val="p"/>
          </m:rPr>
          <m:t>C</m:t>
        </m:r>
      </m:oMath>
      <w:r>
        <w:t xml:space="preserve"> </w:t>
      </w:r>
      <w:r>
        <w:rPr>
          <w:rFonts w:hint="eastAsia"/>
        </w:rPr>
        <w:t xml:space="preserve">至</w:t>
      </w:r>
      <w:r>
        <w:t xml:space="preserve"> </w:t>
      </w:r>
      <m:oMath>
        <m:r>
          <m:t>50</m:t>
        </m:r>
        <m:r>
          <m:t> </m:t>
        </m:r>
        <m:sSup>
          <m:e>
            <m:r>
              <m:t>​</m:t>
            </m:r>
          </m:e>
          <m:sup>
            <m:r>
              <m:rPr>
                <m:sty m:val="p"/>
              </m:rPr>
              <m:t>∘</m:t>
            </m:r>
          </m:sup>
        </m:sSup>
        <m:r>
          <m:rPr>
            <m:sty m:val="p"/>
          </m:rPr>
          <m:t>C</m:t>
        </m:r>
      </m:oMath>
      <w:r>
        <w:rPr>
          <w:rFonts w:hint="eastAsia"/>
        </w:rPr>
        <w:t xml:space="preserve">，精度为</w:t>
      </w:r>
      <w:r>
        <w:t xml:space="preserve"> </w:t>
      </w:r>
      <m:oMath>
        <m:r>
          <m:rPr>
            <m:sty m:val="p"/>
          </m:rPr>
          <m:t>±</m:t>
        </m:r>
        <m:r>
          <m:t>0.3</m:t>
        </m:r>
        <m:r>
          <m:t> </m:t>
        </m:r>
        <m:sSup>
          <m:e>
            <m:r>
              <m:t>​</m:t>
            </m:r>
          </m:e>
          <m:sup>
            <m:r>
              <m:rPr>
                <m:sty m:val="p"/>
              </m:rPr>
              <m:t>∘</m:t>
            </m:r>
          </m:sup>
        </m:sSup>
        <m:r>
          <m:rPr>
            <m:sty m:val="p"/>
          </m:rPr>
          <m:t>C</m:t>
        </m:r>
      </m:oMath>
      <w:r>
        <w:rPr>
          <w:rFonts w:hint="eastAsia"/>
        </w:rPr>
        <w:t xml:space="preserve">，采样与质控遵循公共建筑节能设计标准[3]。</w:t>
      </w:r>
    </w:p>
    <w:bookmarkEnd w:id="10"/>
    <w:bookmarkStart w:id="11" w:name="数据预处理"/>
    <w:p>
      <w:pPr>
        <w:pStyle w:val="Heading2"/>
        <w:spacing w:line="360" w:lineRule="auto"/>
      </w:pPr>
      <w:r>
        <w:rPr>
          <w:rFonts w:hint="eastAsia"/>
        </w:rPr>
        <w:t xml:space="preserve">数据预处理</w:t>
      </w:r>
    </w:p>
    <w:p>
      <w:pPr>
        <w:pStyle w:val="FirstParagraph"/>
        <w:spacing w:line="360" w:lineRule="auto"/>
      </w:pPr>
      <w:r>
        <w:rPr>
          <w:rFonts w:hint="eastAsia"/>
        </w:rPr>
        <w:t xml:space="preserve">多源序列的时间基准、缺失模式与量纲各不相同，预处理按以下顺序执行：</w:t>
      </w:r>
    </w:p>
    <w:p>
      <w:pPr>
        <w:pStyle w:val="Compact"/>
        <w:numPr>
          <w:ilvl w:val="0"/>
          <w:numId w:val="1001"/>
        </w:numPr>
        <w:spacing w:line="360" w:lineRule="auto"/>
      </w:pPr>
      <w:r>
        <w:rPr>
          <w:rFonts w:hint="eastAsia"/>
        </w:rPr>
        <w:t xml:space="preserve">时间对齐：以15</w:t>
      </w:r>
      <w:r>
        <w:t xml:space="preserve"> </w:t>
      </w:r>
      <w:r>
        <w:rPr>
          <w:rFonts w:hint="eastAsia"/>
        </w:rPr>
        <w:t xml:space="preserve">min为统一采样窗，环境类取窗内均值，人员类取窗内峰值，设备类取窗内众数状态，将三类序列对齐到同一时间轴；</w:t>
      </w:r>
    </w:p>
    <w:p>
      <w:pPr>
        <w:pStyle w:val="Compact"/>
        <w:numPr>
          <w:ilvl w:val="0"/>
          <w:numId w:val="1001"/>
        </w:numPr>
        <w:spacing w:line="360" w:lineRule="auto"/>
      </w:pPr>
      <w:r>
        <w:rPr>
          <w:rFonts w:hint="eastAsia"/>
        </w:rPr>
        <w:t xml:space="preserve">缺失处理：对缺失时长小于1</w:t>
      </w:r>
      <w:r>
        <w:t xml:space="preserve"> </w:t>
      </w:r>
      <w:r>
        <w:rPr>
          <w:rFonts w:hint="eastAsia"/>
        </w:rPr>
        <w:t xml:space="preserve">h的片段做线性插值；缺失超过1</w:t>
      </w:r>
      <w:r>
        <w:t xml:space="preserve"> </w:t>
      </w:r>
      <w:r>
        <w:rPr>
          <w:rFonts w:hint="eastAsia"/>
        </w:rPr>
        <w:t xml:space="preserve">h的时段整体标记为不可用，不参与训练与评估；</w:t>
      </w:r>
    </w:p>
    <w:p>
      <w:pPr>
        <w:pStyle w:val="Compact"/>
        <w:numPr>
          <w:ilvl w:val="0"/>
          <w:numId w:val="1001"/>
        </w:numPr>
        <w:spacing w:line="360" w:lineRule="auto"/>
      </w:pPr>
      <w:r>
        <w:rPr>
          <w:rFonts w:hint="eastAsia"/>
        </w:rPr>
        <w:t xml:space="preserve">异常剔除：依据3σ准则识别离群点，结合设备检修记录人工复核，剔除记录在处理日志中保留可回溯条目；</w:t>
      </w:r>
    </w:p>
    <w:p>
      <w:pPr>
        <w:pStyle w:val="Compact"/>
        <w:numPr>
          <w:ilvl w:val="0"/>
          <w:numId w:val="1001"/>
        </w:numPr>
        <w:spacing w:line="360" w:lineRule="auto"/>
      </w:pPr>
      <w:r>
        <w:rPr>
          <w:rFonts w:hint="eastAsia"/>
        </w:rPr>
        <w:t xml:space="preserve">归一化：各变量按训练集统计量做零均值单位方差标准化，防止量纲差异主导梯度方向。</w:t>
      </w:r>
    </w:p>
    <w:p>
      <w:pPr>
        <w:pStyle w:val="FirstParagraph"/>
        <w:spacing w:line="360" w:lineRule="auto"/>
      </w:pPr>
      <w:r>
        <w:rPr>
          <w:rFonts w:hint="eastAsia"/>
        </w:rPr>
        <w:t xml:space="preserve">预处理后共获得有效样本约51.8万条，按6:2:2划分训练、验证与测试集，划分以自然周为单位以避免相邻样本泄漏。</w:t>
      </w:r>
    </w:p>
    <w:bookmarkEnd w:id="11"/>
    <w:bookmarkStart w:id="12" w:name="预测模型"/>
    <w:p>
      <w:pPr>
        <w:pStyle w:val="Heading2"/>
        <w:spacing w:line="360" w:lineRule="auto"/>
      </w:pPr>
      <w:r>
        <w:rPr>
          <w:rFonts w:hint="eastAsia"/>
        </w:rPr>
        <w:t xml:space="preserve">预测模型</w:t>
      </w:r>
    </w:p>
    <w:p>
      <w:pPr>
        <w:pStyle w:val="FirstParagraph"/>
        <w:spacing w:line="360" w:lineRule="auto"/>
      </w:pPr>
      <w:r>
        <w:rPr>
          <w:rFonts w:hint="eastAsia"/>
        </w:rPr>
        <w:t xml:space="preserve">预测模型将长度为</w:t>
      </w:r>
      <w:r>
        <w:t xml:space="preserve"> </w:t>
      </w:r>
      <m:oMath>
        <m:r>
          <m:t>T</m:t>
        </m:r>
      </m:oMath>
      <w:r>
        <w:t xml:space="preserve"> </w:t>
      </w:r>
      <w:r>
        <w:rPr>
          <w:rFonts w:hint="eastAsia"/>
        </w:rPr>
        <w:t xml:space="preserve">的历史窗口</w:t>
      </w:r>
      <w:r>
        <w:t xml:space="preserve"> </w:t>
      </w:r>
      <m:oMath>
        <m:r>
          <m:t>X</m:t>
        </m:r>
        <m:r>
          <m:rPr>
            <m:sty m:val="p"/>
          </m:rPr>
          <m:t>=</m:t>
        </m:r>
        <m:r>
          <m:rPr>
            <m:sty m:val="p"/>
          </m:rPr>
          <m:t>(</m:t>
        </m:r>
        <m:sSub>
          <m:e>
            <m:r>
              <m:t>x</m:t>
            </m:r>
          </m:e>
          <m:sub>
            <m:r>
              <m:t>1</m:t>
            </m:r>
          </m:sub>
        </m:sSub>
        <m:r>
          <m:rPr>
            <m:sty m:val="p"/>
          </m:rPr>
          <m:t>,</m:t>
        </m:r>
        <m:sSub>
          <m:e>
            <m:r>
              <m:t>x</m:t>
            </m:r>
          </m:e>
          <m:sub>
            <m:r>
              <m:t>2</m:t>
            </m:r>
          </m:sub>
        </m:sSub>
        <m:r>
          <m:rPr>
            <m:sty m:val="p"/>
          </m:rPr>
          <m:t>,</m:t>
        </m:r>
        <m:r>
          <m:rPr>
            <m:sty m:val="p"/>
          </m:rPr>
          <m:t>…</m:t>
        </m:r>
        <m:r>
          <m:rPr>
            <m:sty m:val="p"/>
          </m:rPr>
          <m:t>,</m:t>
        </m:r>
        <m:sSub>
          <m:e>
            <m:r>
              <m:t>x</m:t>
            </m:r>
          </m:e>
          <m:sub>
            <m:r>
              <m:t>T</m:t>
            </m:r>
          </m:sub>
        </m:sSub>
        <m:r>
          <m:rPr>
            <m:sty m:val="p"/>
          </m:rPr>
          <m:t>)</m:t>
        </m:r>
      </m:oMath>
      <w:r>
        <w:t xml:space="preserve"> </w:t>
      </w:r>
      <w:r>
        <w:rPr>
          <w:rFonts w:hint="eastAsia"/>
        </w:rPr>
        <w:t xml:space="preserve">映射为下一时刻能耗。每个时间步的输入</w:t>
      </w:r>
      <w:r>
        <w:t xml:space="preserve"> </w:t>
      </w:r>
      <m:oMath>
        <m:sSub>
          <m:e>
            <m:r>
              <m:t>x</m:t>
            </m:r>
          </m:e>
          <m:sub>
            <m:r>
              <m:t>t</m:t>
            </m:r>
          </m:sub>
        </m:sSub>
        <m:r>
          <m:rPr>
            <m:sty m:val="p"/>
          </m:rPr>
          <m:t>∈</m:t>
        </m:r>
        <m:sSup>
          <m:e>
            <m:r>
              <m:rPr>
                <m:scr m:val="double-struck"/>
                <m:sty m:val="p"/>
              </m:rPr>
              <m:t>R</m:t>
            </m:r>
          </m:e>
          <m:sup>
            <m:r>
              <m:t>d</m:t>
            </m:r>
          </m:sup>
        </m:sSup>
      </m:oMath>
      <w:r>
        <w:t xml:space="preserve"> </w:t>
      </w:r>
      <w:r>
        <w:rPr>
          <w:rFonts w:hint="eastAsia"/>
        </w:rPr>
        <w:t xml:space="preserve">拼接环境、人员与设备三类特征，</w:t>
      </w:r>
      <m:oMath>
        <m:r>
          <m:t>d</m:t>
        </m:r>
        <m:r>
          <m:rPr>
            <m:sty m:val="p"/>
          </m:rPr>
          <m:t>=</m:t>
        </m:r>
        <m:r>
          <m:t>14</m:t>
        </m:r>
      </m:oMath>
      <w:r>
        <w:rPr>
          <w:rFonts w:hint="eastAsia"/>
        </w:rPr>
        <w:t xml:space="preserve">。门控循环单元按</w:t>
      </w:r>
    </w:p>
    <w:p>
      <w:pPr>
        <w:pStyle w:val="BodyText"/>
        <w:spacing w:line="360" w:lineRule="auto"/>
      </w:pPr>
      <m:oMathPara>
        <m:oMathParaPr>
          <m:jc m:val="center"/>
        </m:oMathParaPr>
        <m:oMath>
          <m:sSub>
            <m:e>
              <m:r>
                <m:t>z</m:t>
              </m:r>
            </m:e>
            <m:sub>
              <m:r>
                <m:t>t</m:t>
              </m:r>
            </m:sub>
          </m:sSub>
          <m:r>
            <m:rPr>
              <m:sty m:val="p"/>
            </m:rPr>
            <m:t>=</m:t>
          </m:r>
          <m:r>
            <m:t>σ</m:t>
          </m:r>
          <m:r>
            <m:rPr>
              <m:sty m:val="p"/>
            </m:rPr>
            <m:t>(</m:t>
          </m:r>
          <m:sSub>
            <m:e>
              <m:r>
                <m:t>W</m:t>
              </m:r>
            </m:e>
            <m:sub>
              <m:r>
                <m:t>z</m:t>
              </m:r>
            </m:sub>
          </m:sSub>
          <m:sSub>
            <m:e>
              <m:r>
                <m:t>x</m:t>
              </m:r>
            </m:e>
            <m:sub>
              <m:r>
                <m:t>t</m:t>
              </m:r>
            </m:sub>
          </m:sSub>
          <m:r>
            <m:rPr>
              <m:sty m:val="p"/>
            </m:rPr>
            <m:t>+</m:t>
          </m:r>
          <m:sSub>
            <m:e>
              <m:r>
                <m:t>U</m:t>
              </m:r>
            </m:e>
            <m:sub>
              <m:r>
                <m:t>z</m:t>
              </m:r>
            </m:sub>
          </m:sSub>
          <m:sSub>
            <m:e>
              <m:r>
                <m:t>h</m:t>
              </m:r>
            </m:e>
            <m:sub>
              <m:r>
                <m:t>t</m:t>
              </m:r>
              <m:r>
                <m:rPr>
                  <m:sty m:val="p"/>
                </m:rPr>
                <m:t>−</m:t>
              </m:r>
              <m:r>
                <m:t>1</m:t>
              </m:r>
            </m:sub>
          </m:sSub>
          <m:r>
            <m:rPr>
              <m:sty m:val="p"/>
            </m:rPr>
            <m:t>)</m:t>
          </m:r>
          <m:r>
            <m:rPr>
              <m:sty m:val="p"/>
            </m:rPr>
            <m:t>,</m:t>
          </m:r>
          <m:r>
            <m:t>  </m:t>
          </m:r>
          <m:sSub>
            <m:e>
              <m:r>
                <m:t>h</m:t>
              </m:r>
            </m:e>
            <m:sub>
              <m:r>
                <m:t>t</m:t>
              </m:r>
            </m:sub>
          </m:sSub>
          <m:r>
            <m:rPr>
              <m:sty m:val="p"/>
            </m:rPr>
            <m:t>=</m:t>
          </m:r>
          <m:r>
            <m:rPr>
              <m:sty m:val="p"/>
            </m:rPr>
            <m:t>(</m:t>
          </m:r>
          <m:r>
            <m:t>1</m:t>
          </m:r>
          <m:r>
            <m:rPr>
              <m:sty m:val="p"/>
            </m:rPr>
            <m:t>−</m:t>
          </m:r>
          <m:sSub>
            <m:e>
              <m:r>
                <m:t>z</m:t>
              </m:r>
            </m:e>
            <m:sub>
              <m:r>
                <m:t>t</m:t>
              </m:r>
            </m:sub>
          </m:sSub>
          <m:r>
            <m:rPr>
              <m:sty m:val="p"/>
            </m:rPr>
            <m:t>)</m:t>
          </m:r>
          <m:r>
            <m:rPr>
              <m:sty m:val="p"/>
            </m:rPr>
            <m:t>⊙</m:t>
          </m:r>
          <m:sSub>
            <m:e>
              <m:r>
                <m:t>h</m:t>
              </m:r>
            </m:e>
            <m:sub>
              <m:r>
                <m:t>t</m:t>
              </m:r>
              <m:r>
                <m:rPr>
                  <m:sty m:val="p"/>
                </m:rPr>
                <m:t>−</m:t>
              </m:r>
              <m:r>
                <m:t>1</m:t>
              </m:r>
            </m:sub>
          </m:sSub>
          <m:r>
            <m:rPr>
              <m:sty m:val="p"/>
            </m:rPr>
            <m:t>+</m:t>
          </m:r>
          <m:sSub>
            <m:e>
              <m:r>
                <m:t>z</m:t>
              </m:r>
            </m:e>
            <m:sub>
              <m:r>
                <m:t>t</m:t>
              </m:r>
            </m:sub>
          </m:sSub>
          <m:r>
            <m:rPr>
              <m:sty m:val="p"/>
            </m:rPr>
            <m:t>⊙</m:t>
          </m:r>
          <m:sSub>
            <m:e>
              <m:acc>
                <m:accPr>
                  <m:chr m:val="̃"/>
                </m:accPr>
                <m:e>
                  <m:r>
                    <m:t>h</m:t>
                  </m:r>
                </m:e>
              </m:acc>
            </m:e>
            <m:sub>
              <m:r>
                <m:t>t</m:t>
              </m:r>
            </m:sub>
          </m:sSub>
        </m:oMath>
      </m:oMathPara>
    </w:p>
    <w:p>
      <w:pPr>
        <w:pStyle w:val="FirstParagraph"/>
        <w:spacing w:line="360" w:lineRule="auto"/>
      </w:pPr>
      <w:r>
        <w:rPr>
          <w:rFonts w:hint="eastAsia"/>
        </w:rPr>
        <w:t xml:space="preserve">更新隐状态，其中</w:t>
      </w:r>
      <w:r>
        <w:t xml:space="preserve"> </w:t>
      </w:r>
      <m:oMath>
        <m:sSub>
          <m:e>
            <m:acc>
              <m:accPr>
                <m:chr m:val="̃"/>
              </m:accPr>
              <m:e>
                <m:r>
                  <m:t>h</m:t>
                </m:r>
              </m:e>
            </m:acc>
          </m:e>
          <m:sub>
            <m:r>
              <m:t>t</m:t>
            </m:r>
          </m:sub>
        </m:sSub>
      </m:oMath>
      <w:r>
        <w:t xml:space="preserve"> </w:t>
      </w:r>
      <w:r>
        <w:rPr>
          <w:rFonts w:hint="eastAsia"/>
        </w:rPr>
        <w:t xml:space="preserve">为候选状态，</w:t>
      </w:r>
      <m:oMath>
        <m:r>
          <m:t>σ</m:t>
        </m:r>
      </m:oMath>
      <w:r>
        <w:t xml:space="preserve"> </w:t>
      </w:r>
      <w:r>
        <w:rPr>
          <w:rFonts w:hint="eastAsia"/>
        </w:rPr>
        <w:t xml:space="preserve">为</w:t>
      </w:r>
      <w:r>
        <w:t xml:space="preserve"> sigmoid </w:t>
      </w:r>
      <w:r>
        <w:rPr>
          <w:rFonts w:hint="eastAsia"/>
        </w:rPr>
        <w:t xml:space="preserve">函数。变量级注意力对第</w:t>
      </w:r>
      <w:r>
        <w:t xml:space="preserve"> </w:t>
      </w:r>
      <m:oMath>
        <m:r>
          <m:t>j</m:t>
        </m:r>
      </m:oMath>
      <w:r>
        <w:t xml:space="preserve"> </w:t>
      </w:r>
      <w:r>
        <w:rPr>
          <w:rFonts w:hint="eastAsia"/>
        </w:rPr>
        <w:t xml:space="preserve">个输入变量计算权重</w:t>
      </w:r>
    </w:p>
    <w:p>
      <w:pPr>
        <w:pStyle w:val="BodyText"/>
        <w:spacing w:line="360" w:lineRule="auto"/>
      </w:pPr>
      <m:oMathPara>
        <m:oMathParaPr>
          <m:jc m:val="center"/>
        </m:oMathParaPr>
        <m:oMath>
          <m:sSub>
            <m:e>
              <m:r>
                <m:t>α</m:t>
              </m:r>
            </m:e>
            <m:sub>
              <m:r>
                <m:t>j</m:t>
              </m:r>
            </m:sub>
          </m:sSub>
          <m:r>
            <m:rPr>
              <m:sty m:val="p"/>
            </m:rPr>
            <m:t>=</m:t>
          </m:r>
          <m:f>
            <m:fPr>
              <m:type m:val="bar"/>
            </m:fPr>
            <m:num>
              <m:r>
                <m:rPr>
                  <m:sty m:val="p"/>
                </m:rPr>
                <m:t>exp</m:t>
              </m:r>
              <m:r>
                <m:rPr>
                  <m:sty m:val="p"/>
                </m:rPr>
                <m:t>(</m:t>
              </m:r>
              <m:sSubSup>
                <m:e>
                  <m:r>
                    <m:t>u</m:t>
                  </m:r>
                </m:e>
                <m:sub>
                  <m:r>
                    <m:t>j</m:t>
                  </m:r>
                </m:sub>
                <m:sup>
                  <m:r>
                    <m:rPr>
                      <m:sty m:val="p"/>
                    </m:rPr>
                    <m:t>⊤</m:t>
                  </m:r>
                </m:sup>
              </m:sSubSup>
              <m:r>
                <m:rPr>
                  <m:sty m:val="p"/>
                </m:rPr>
                <m:t>tanh</m:t>
              </m:r>
              <m:r>
                <m:rPr>
                  <m:sty m:val="p"/>
                </m:rPr>
                <m:t>(</m:t>
              </m:r>
              <m:sSub>
                <m:e>
                  <m:r>
                    <m:t>W</m:t>
                  </m:r>
                </m:e>
                <m:sub>
                  <m:r>
                    <m:t>a</m:t>
                  </m:r>
                </m:sub>
              </m:sSub>
              <m:sSub>
                <m:e>
                  <m:r>
                    <m:t>h</m:t>
                  </m:r>
                </m:e>
                <m:sub>
                  <m:r>
                    <m:t>T</m:t>
                  </m:r>
                </m:sub>
              </m:sSub>
              <m:r>
                <m:rPr>
                  <m:sty m:val="p"/>
                </m:rPr>
                <m:t>)</m:t>
              </m:r>
              <m:r>
                <m:rPr>
                  <m:sty m:val="p"/>
                </m:rPr>
                <m:t>)</m:t>
              </m:r>
            </m:num>
            <m:den>
              <m:nary>
                <m:naryPr>
                  <m:chr m:val="∑"/>
                  <m:limLoc m:val="undOvr"/>
                  <m:subHide m:val="off"/>
                  <m:supHide m:val="off"/>
                </m:naryPr>
                <m:sub>
                  <m:r>
                    <m:t>k</m:t>
                  </m:r>
                  <m:r>
                    <m:rPr>
                      <m:sty m:val="p"/>
                    </m:rPr>
                    <m:t>=</m:t>
                  </m:r>
                  <m:r>
                    <m:t>1</m:t>
                  </m:r>
                </m:sub>
                <m:sup>
                  <m:r>
                    <m:t>d</m:t>
                  </m:r>
                </m:sup>
                <m:e>
                  <m:r>
                    <m:rPr>
                      <m:sty m:val="p"/>
                    </m:rPr>
                    <m:t>exp</m:t>
                  </m:r>
                </m:e>
              </m:nary>
              <m:r>
                <m:rPr>
                  <m:sty m:val="p"/>
                </m:rPr>
                <m:t>(</m:t>
              </m:r>
              <m:sSubSup>
                <m:e>
                  <m:r>
                    <m:t>u</m:t>
                  </m:r>
                </m:e>
                <m:sub>
                  <m:r>
                    <m:t>k</m:t>
                  </m:r>
                </m:sub>
                <m:sup>
                  <m:r>
                    <m:rPr>
                      <m:sty m:val="p"/>
                    </m:rPr>
                    <m:t>⊤</m:t>
                  </m:r>
                </m:sup>
              </m:sSubSup>
              <m:r>
                <m:rPr>
                  <m:sty m:val="p"/>
                </m:rPr>
                <m:t>tanh</m:t>
              </m:r>
              <m:r>
                <m:rPr>
                  <m:sty m:val="p"/>
                </m:rPr>
                <m:t>(</m:t>
              </m:r>
              <m:sSub>
                <m:e>
                  <m:r>
                    <m:t>W</m:t>
                  </m:r>
                </m:e>
                <m:sub>
                  <m:r>
                    <m:t>a</m:t>
                  </m:r>
                </m:sub>
              </m:sSub>
              <m:sSub>
                <m:e>
                  <m:r>
                    <m:t>h</m:t>
                  </m:r>
                </m:e>
                <m:sub>
                  <m:r>
                    <m:t>T</m:t>
                  </m:r>
                </m:sub>
              </m:sSub>
              <m:r>
                <m:rPr>
                  <m:sty m:val="p"/>
                </m:rPr>
                <m:t>)</m:t>
              </m:r>
              <m:r>
                <m:rPr>
                  <m:sty m:val="p"/>
                </m:rPr>
                <m:t>)</m:t>
              </m:r>
            </m:den>
          </m:f>
          <m:r>
            <m:rPr>
              <m:sty m:val="p"/>
            </m:rPr>
            <m:t>,</m:t>
          </m:r>
        </m:oMath>
      </m:oMathPara>
    </w:p>
    <w:p>
      <w:pPr>
        <w:pStyle w:val="FirstParagraph"/>
        <w:spacing w:line="360" w:lineRule="auto"/>
      </w:pPr>
      <w:r>
        <w:rPr>
          <w:rFonts w:hint="eastAsia"/>
        </w:rPr>
        <w:t xml:space="preserve">加权特征经全连接层输出预测值</w:t>
      </w:r>
      <w:r>
        <w:t xml:space="preserve"> </w:t>
      </w:r>
      <m:oMath>
        <m:sSub>
          <m:e>
            <m:acc>
              <m:accPr>
                <m:chr m:val="̂"/>
              </m:accPr>
              <m:e>
                <m:r>
                  <m:t>y</m:t>
                </m:r>
              </m:e>
            </m:acc>
          </m:e>
          <m:sub>
            <m:r>
              <m:t>T</m:t>
            </m:r>
            <m:r>
              <m:rPr>
                <m:sty m:val="p"/>
              </m:rPr>
              <m:t>+</m:t>
            </m:r>
            <m:r>
              <m:t>1</m:t>
            </m:r>
          </m:sub>
        </m:sSub>
      </m:oMath>
      <w:r>
        <w:rPr>
          <w:rFonts w:hint="eastAsia"/>
        </w:rPr>
        <w:t xml:space="preserve">。训练目标为均方误差，评估指标采用平均绝对误差（MAE）、均方根误差（RMSE）与平均绝对百分比误差（MAPE）：</w:t>
      </w:r>
    </w:p>
    <w:p>
      <w:pPr>
        <w:pStyle w:val="BodyText"/>
        <w:spacing w:line="360" w:lineRule="auto"/>
      </w:pPr>
      <m:oMathPara>
        <m:oMathParaPr>
          <m:jc m:val="center"/>
        </m:oMathParaPr>
        <m:oMath>
          <m:r>
            <m:rPr>
              <m:sty m:val="p"/>
            </m:rPr>
            <m:t>M</m:t>
          </m:r>
          <m:r>
            <m:rPr>
              <m:sty m:val="p"/>
            </m:rPr>
            <m:t>A</m:t>
          </m:r>
          <m:r>
            <m:rPr>
              <m:sty m:val="p"/>
            </m:rPr>
            <m:t>E</m:t>
          </m:r>
          <m:r>
            <m:rPr>
              <m:sty m:val="p"/>
            </m:rPr>
            <m:t>=</m:t>
          </m:r>
          <m:f>
            <m:fPr>
              <m:type m:val="bar"/>
            </m:fPr>
            <m:num>
              <m:r>
                <m:t>1</m:t>
              </m:r>
            </m:num>
            <m:den>
              <m:r>
                <m:t>n</m:t>
              </m:r>
            </m:den>
          </m:f>
          <m:nary>
            <m:naryPr>
              <m:chr m:val="∑"/>
              <m:limLoc m:val="undOvr"/>
              <m:subHide m:val="off"/>
              <m:supHide m:val="off"/>
            </m:naryPr>
            <m:sub>
              <m:r>
                <m:t>i</m:t>
              </m:r>
              <m:r>
                <m:rPr>
                  <m:sty m:val="p"/>
                </m:rPr>
                <m:t>=</m:t>
              </m:r>
              <m:r>
                <m:t>1</m:t>
              </m:r>
            </m:sub>
            <m:sup>
              <m:r>
                <m:t>n</m:t>
              </m:r>
            </m:sup>
            <m:e>
              <m:r>
                <m:rPr>
                  <m:sty m:val="p"/>
                </m:rPr>
                <m:t>|</m:t>
              </m:r>
            </m:e>
          </m:nary>
          <m:sSub>
            <m:e>
              <m:r>
                <m:t>y</m:t>
              </m:r>
            </m:e>
            <m:sub>
              <m:r>
                <m:t>i</m:t>
              </m:r>
            </m:sub>
          </m:sSub>
          <m:r>
            <m:rPr>
              <m:sty m:val="p"/>
            </m:rPr>
            <m:t>−</m:t>
          </m:r>
          <m:sSub>
            <m:e>
              <m:acc>
                <m:accPr>
                  <m:chr m:val="̂"/>
                </m:accPr>
                <m:e>
                  <m:r>
                    <m:t>y</m:t>
                  </m:r>
                </m:e>
              </m:acc>
            </m:e>
            <m:sub>
              <m:r>
                <m:t>i</m:t>
              </m:r>
            </m:sub>
          </m:sSub>
          <m:r>
            <m:rPr>
              <m:sty m:val="p"/>
            </m:rPr>
            <m:t>|</m:t>
          </m:r>
          <m:r>
            <m:rPr>
              <m:sty m:val="p"/>
            </m:rPr>
            <m:t>,</m:t>
          </m:r>
          <m:r>
            <m:t>  </m:t>
          </m:r>
          <m:r>
            <m:rPr>
              <m:sty m:val="p"/>
            </m:rPr>
            <m:t>M</m:t>
          </m:r>
          <m:r>
            <m:rPr>
              <m:sty m:val="p"/>
            </m:rPr>
            <m:t>A</m:t>
          </m:r>
          <m:r>
            <m:rPr>
              <m:sty m:val="p"/>
            </m:rPr>
            <m:t>P</m:t>
          </m:r>
          <m:r>
            <m:rPr>
              <m:sty m:val="p"/>
            </m:rPr>
            <m:t>E</m:t>
          </m:r>
          <m:r>
            <m:rPr>
              <m:sty m:val="p"/>
            </m:rPr>
            <m:t>=</m:t>
          </m:r>
          <m:f>
            <m:fPr>
              <m:type m:val="bar"/>
            </m:fPr>
            <m:num>
              <m:r>
                <m:t>100</m:t>
              </m:r>
              <m:r>
                <m:rPr>
                  <m:sty m:val="p"/>
                </m:rPr>
                <m:t>%</m:t>
              </m:r>
            </m:num>
            <m:den>
              <m:r>
                <m:t>n</m:t>
              </m:r>
            </m:den>
          </m:f>
          <m:nary>
            <m:naryPr>
              <m:chr m:val="∑"/>
              <m:limLoc m:val="undOvr"/>
              <m:subHide m:val="off"/>
              <m:supHide m:val="off"/>
            </m:naryPr>
            <m:sub>
              <m:r>
                <m:t>i</m:t>
              </m:r>
              <m:r>
                <m:rPr>
                  <m:sty m:val="p"/>
                </m:rPr>
                <m:t>=</m:t>
              </m:r>
              <m:r>
                <m:t>1</m:t>
              </m:r>
            </m:sub>
            <m:sup>
              <m:r>
                <m:t>n</m:t>
              </m:r>
            </m:sup>
            <m:e>
              <m:d>
                <m:dPr>
                  <m:begChr m:val="|"/>
                  <m:sepChr m:val=""/>
                  <m:endChr m:val="|"/>
                  <m:grow/>
                </m:dPr>
                <m:e>
                  <m:f>
                    <m:fPr>
                      <m:type m:val="bar"/>
                    </m:fPr>
                    <m:num>
                      <m:sSub>
                        <m:e>
                          <m:r>
                            <m:t>y</m:t>
                          </m:r>
                        </m:e>
                        <m:sub>
                          <m:r>
                            <m:t>i</m:t>
                          </m:r>
                        </m:sub>
                      </m:sSub>
                      <m:r>
                        <m:rPr>
                          <m:sty m:val="p"/>
                        </m:rPr>
                        <m:t>−</m:t>
                      </m:r>
                      <m:sSub>
                        <m:e>
                          <m:acc>
                            <m:accPr>
                              <m:chr m:val="̂"/>
                            </m:accPr>
                            <m:e>
                              <m:r>
                                <m:t>y</m:t>
                              </m:r>
                            </m:e>
                          </m:acc>
                        </m:e>
                        <m:sub>
                          <m:r>
                            <m:t>i</m:t>
                          </m:r>
                        </m:sub>
                      </m:sSub>
                    </m:num>
                    <m:den>
                      <m:sSub>
                        <m:e>
                          <m:r>
                            <m:t>y</m:t>
                          </m:r>
                        </m:e>
                        <m:sub>
                          <m:r>
                            <m:t>i</m:t>
                          </m:r>
                        </m:sub>
                      </m:sSub>
                    </m:den>
                  </m:f>
                </m:e>
              </m:d>
            </m:e>
          </m:nary>
          <m:r>
            <m:rPr>
              <m:sty m:val="p"/>
            </m:rPr>
            <m:t>.</m:t>
          </m:r>
        </m:oMath>
      </m:oMathPara>
    </w:p>
    <w:p>
      <w:pPr>
        <w:pStyle w:val="FirstParagraph"/>
        <w:spacing w:line="360" w:lineRule="auto"/>
      </w:pPr>
      <w:r>
        <w:rPr>
          <w:rFonts w:hint="eastAsia"/>
        </w:rPr>
        <w:t xml:space="preserve">历史窗口长度</w:t>
      </w:r>
      <w:r>
        <w:t xml:space="preserve"> </w:t>
      </w:r>
      <m:oMath>
        <m:r>
          <m:t>T</m:t>
        </m:r>
        <m:r>
          <m:rPr>
            <m:sty m:val="p"/>
          </m:rPr>
          <m:t>=</m:t>
        </m:r>
        <m:r>
          <m:t>96</m:t>
        </m:r>
      </m:oMath>
      <w:r>
        <w:rPr>
          <w:rFonts w:hint="eastAsia"/>
        </w:rPr>
        <w:t xml:space="preserve">（即24</w:t>
      </w:r>
      <w:r>
        <w:t xml:space="preserve"> </w:t>
      </w:r>
      <w:r>
        <w:rPr>
          <w:rFonts w:hint="eastAsia"/>
        </w:rPr>
        <w:t xml:space="preserve">h），批大小为256，采用Adam优化器，初始学习率</w:t>
      </w:r>
      <w:r>
        <w:t xml:space="preserve"> </w:t>
      </w:r>
      <m:oMath>
        <m:sSup>
          <m:e>
            <m:r>
              <m:t>10</m:t>
            </m:r>
          </m:e>
          <m:sup>
            <m:r>
              <m:rPr>
                <m:sty m:val="p"/>
              </m:rPr>
              <m:t>−</m:t>
            </m:r>
            <m:r>
              <m:t>3</m:t>
            </m:r>
          </m:sup>
        </m:sSup>
      </m:oMath>
      <w:r>
        <w:rPr>
          <w:rFonts w:hint="eastAsia"/>
        </w:rPr>
        <w:t xml:space="preserve">，验证集损失连续10轮不下降即提前停止。</w:t>
      </w:r>
    </w:p>
    <w:bookmarkEnd w:id="12"/>
    <w:bookmarkEnd w:id="13"/>
    <w:bookmarkStart w:id="30" w:name="结果与分析"/>
    <w:p>
      <w:pPr>
        <w:pStyle w:val="Heading1"/>
        <w:spacing w:line="360" w:lineRule="auto"/>
      </w:pPr>
      <w:r>
        <w:rPr>
          <w:rFonts w:hint="eastAsia"/>
        </w:rPr>
        <w:t xml:space="preserve">结果与分析</w:t>
      </w:r>
    </w:p>
    <w:bookmarkStart w:id="17" w:name="总体预测性能"/>
    <w:p>
      <w:pPr>
        <w:pStyle w:val="Heading2"/>
        <w:spacing w:line="360" w:lineRule="auto"/>
      </w:pPr>
      <w:r>
        <w:rPr>
          <w:rFonts w:hint="eastAsia"/>
        </w:rPr>
        <w:t xml:space="preserve">总体预测性能</w:t>
      </w:r>
    </w:p>
    <w:p>
      <w:pPr>
        <w:pStyle w:val="FirstParagraph"/>
        <w:spacing w:line="360" w:lineRule="auto"/>
      </w:pPr>
      <w:r>
        <w:rPr>
          <w:rFonts w:hint="eastAsia"/>
        </w:rPr>
        <w:t xml:space="preserve">表1比较了所提方法与四种基线模型在测试集上的表现。线性回归与梯度提升树代表传统机器学习方法，LSTM与TCN代表主流深度时序模型。所提方法在三项指标上均取得最优结果，MAPE为6.8%，较LSTM下降18.4%，较线性回归下降36.4%。</w:t>
      </w:r>
    </w:p>
    <w:p>
      <w:pPr>
        <w:pStyle w:val="BodyText"/>
        <w:spacing w:line="360" w:lineRule="auto"/>
      </w:pPr>
      <w:r>
        <w:rPr>
          <w:rFonts w:hint="eastAsia"/>
        </w:rPr>
        <w:t xml:space="preserve">表1</w:t>
      </w:r>
      <w:r>
        <w:t xml:space="preserve"> </w:t>
      </w:r>
      <w:r>
        <w:rPr>
          <w:rFonts w:hint="eastAsia"/>
        </w:rPr>
        <w:t xml:space="preserve">不同模型在测试集上的预测性能比较</w:t>
      </w:r>
    </w:p>
    <w:p>
      <w:pPr>
        <w:pStyle w:val="BodyText"/>
        <w:spacing w:line="360" w:lineRule="auto"/>
      </w:pPr>
      <w:r>
        <w:t xml:space="preserve">Table 1 Forecasting performance of different models on the held-out test set</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rPr>
                <w:rFonts w:hint="eastAsia"/>
                <w:b/>
                <w:sz w:val="18"/>
              </w:rPr>
              <w:t xml:space="preserve">模型</w:t>
            </w:r>
          </w:p>
        </w:tc>
        <w:tc>
          <w:tcPr/>
          <w:p>
            <w:pPr>
              <w:pStyle w:val="Compact"/>
              <w:jc w:val="right"/>
            </w:pPr>
            <w:r>
              <w:rPr>
                <w:b/>
                <w:sz w:val="18"/>
              </w:rPr>
              <w:t xml:space="preserve">MAE/(kW·h)</w:t>
            </w:r>
          </w:p>
        </w:tc>
        <w:tc>
          <w:tcPr/>
          <w:p>
            <w:pPr>
              <w:pStyle w:val="Compact"/>
              <w:jc w:val="right"/>
            </w:pPr>
            <w:r>
              <w:rPr>
                <w:b/>
                <w:sz w:val="18"/>
              </w:rPr>
              <w:t xml:space="preserve">RMSE/(kW·h)</w:t>
            </w:r>
          </w:p>
        </w:tc>
        <w:tc>
          <w:tcPr/>
          <w:p>
            <w:pPr>
              <w:pStyle w:val="Compact"/>
              <w:jc w:val="right"/>
            </w:pPr>
            <w:r>
              <w:rPr>
                <w:b/>
                <w:sz w:val="18"/>
              </w:rPr>
              <w:t xml:space="preserve">MAPE/%</w:t>
            </w:r>
          </w:p>
        </w:tc>
        <w:tc>
          <w:tcPr/>
          <w:p>
            <w:pPr>
              <w:pStyle w:val="Compact"/>
              <w:jc w:val="right"/>
            </w:pPr>
            <w:r>
              <w:rPr>
                <w:rFonts w:hint="eastAsia"/>
                <w:b/>
                <w:sz w:val="18"/>
              </w:rPr>
              <w:t xml:space="preserve">参数量/10</w:t>
            </w:r>
            <w:r>
              <w:rPr>
                <w:b/>
                <w:sz w:val="18"/>
                <w:vertAlign w:val="superscript"/>
              </w:rPr>
              <w:t xml:space="preserve">3</w:t>
            </w:r>
          </w:p>
        </w:tc>
        <w:tc>
          <w:tcPr/>
          <w:p>
            <w:pPr>
              <w:pStyle w:val="Compact"/>
              <w:jc w:val="right"/>
            </w:pPr>
            <w:r>
              <w:rPr>
                <w:rFonts w:hint="eastAsia"/>
                <w:b/>
                <w:sz w:val="18"/>
              </w:rPr>
              <w:t xml:space="preserve">推理时延/ms</w:t>
            </w:r>
          </w:p>
        </w:tc>
      </w:tr>
      <w:tr>
        <w:tc>
          <w:tcPr/>
          <w:p>
            <w:pPr>
              <w:pStyle w:val="Compact"/>
              <w:jc w:val="left"/>
            </w:pPr>
            <w:r>
              <w:rPr>
                <w:rFonts w:hint="eastAsia"/>
                <w:b w:val="0"/>
                <w:sz w:val="18"/>
              </w:rPr>
              <w:t xml:space="preserve">线性回归</w:t>
            </w:r>
          </w:p>
        </w:tc>
        <w:tc>
          <w:tcPr/>
          <w:p>
            <w:pPr>
              <w:pStyle w:val="Compact"/>
              <w:jc w:val="right"/>
            </w:pPr>
            <w:r>
              <w:rPr>
                <w:b w:val="0"/>
                <w:sz w:val="18"/>
              </w:rPr>
              <w:t xml:space="preserve">18.6</w:t>
            </w:r>
          </w:p>
        </w:tc>
        <w:tc>
          <w:tcPr/>
          <w:p>
            <w:pPr>
              <w:pStyle w:val="Compact"/>
              <w:jc w:val="right"/>
            </w:pPr>
            <w:r>
              <w:rPr>
                <w:b w:val="0"/>
                <w:sz w:val="18"/>
              </w:rPr>
              <w:t xml:space="preserve">24.2</w:t>
            </w:r>
          </w:p>
        </w:tc>
        <w:tc>
          <w:tcPr/>
          <w:p>
            <w:pPr>
              <w:pStyle w:val="Compact"/>
              <w:jc w:val="right"/>
            </w:pPr>
            <w:r>
              <w:rPr>
                <w:b w:val="0"/>
                <w:sz w:val="18"/>
              </w:rPr>
              <w:t xml:space="preserve">10.7</w:t>
            </w:r>
          </w:p>
        </w:tc>
        <w:tc>
          <w:tcPr/>
          <w:p>
            <w:pPr>
              <w:pStyle w:val="Compact"/>
              <w:jc w:val="right"/>
            </w:pPr>
            <w:r>
              <w:rPr>
                <w:b w:val="0"/>
                <w:sz w:val="18"/>
              </w:rPr>
              <w:t xml:space="preserve">0.1</w:t>
            </w:r>
          </w:p>
        </w:tc>
        <w:tc>
          <w:tcPr/>
          <w:p>
            <w:pPr>
              <w:pStyle w:val="Compact"/>
              <w:jc w:val="right"/>
            </w:pPr>
            <w:r>
              <w:rPr>
                <w:b w:val="0"/>
                <w:sz w:val="18"/>
              </w:rPr>
              <w:t xml:space="preserve">0.2</w:t>
            </w:r>
          </w:p>
        </w:tc>
      </w:tr>
      <w:tr>
        <w:tc>
          <w:tcPr/>
          <w:p>
            <w:pPr>
              <w:pStyle w:val="Compact"/>
              <w:jc w:val="left"/>
            </w:pPr>
            <w:r>
              <w:rPr>
                <w:rFonts w:hint="eastAsia"/>
                <w:b w:val="0"/>
                <w:sz w:val="18"/>
              </w:rPr>
              <w:t xml:space="preserve">梯度提升树</w:t>
            </w:r>
          </w:p>
        </w:tc>
        <w:tc>
          <w:tcPr/>
          <w:p>
            <w:pPr>
              <w:pStyle w:val="Compact"/>
              <w:jc w:val="right"/>
            </w:pPr>
            <w:r>
              <w:rPr>
                <w:b w:val="0"/>
                <w:sz w:val="18"/>
              </w:rPr>
              <w:t xml:space="preserve">15.4</w:t>
            </w:r>
          </w:p>
        </w:tc>
        <w:tc>
          <w:tcPr/>
          <w:p>
            <w:pPr>
              <w:pStyle w:val="Compact"/>
              <w:jc w:val="right"/>
            </w:pPr>
            <w:r>
              <w:rPr>
                <w:b w:val="0"/>
                <w:sz w:val="18"/>
              </w:rPr>
              <w:t xml:space="preserve">20.6</w:t>
            </w:r>
          </w:p>
        </w:tc>
        <w:tc>
          <w:tcPr/>
          <w:p>
            <w:pPr>
              <w:pStyle w:val="Compact"/>
              <w:jc w:val="right"/>
            </w:pPr>
            <w:r>
              <w:rPr>
                <w:b w:val="0"/>
                <w:sz w:val="18"/>
              </w:rPr>
              <w:t xml:space="preserve">9.2</w:t>
            </w:r>
          </w:p>
        </w:tc>
        <w:tc>
          <w:tcPr/>
          <w:p>
            <w:pPr>
              <w:pStyle w:val="Compact"/>
              <w:jc w:val="right"/>
            </w:pPr>
            <w:r>
              <w:rPr>
                <w:b w:val="0"/>
                <w:sz w:val="18"/>
              </w:rPr>
              <w:t xml:space="preserve">42.0</w:t>
            </w:r>
          </w:p>
        </w:tc>
        <w:tc>
          <w:tcPr/>
          <w:p>
            <w:pPr>
              <w:pStyle w:val="Compact"/>
              <w:jc w:val="right"/>
            </w:pPr>
            <w:r>
              <w:rPr>
                <w:b w:val="0"/>
                <w:sz w:val="18"/>
              </w:rPr>
              <w:t xml:space="preserve">1.1</w:t>
            </w:r>
          </w:p>
        </w:tc>
      </w:tr>
      <w:tr>
        <w:tc>
          <w:tcPr/>
          <w:p>
            <w:pPr>
              <w:pStyle w:val="Compact"/>
              <w:jc w:val="left"/>
            </w:pPr>
            <w:r>
              <w:rPr>
                <w:b w:val="0"/>
                <w:sz w:val="18"/>
              </w:rPr>
              <w:t xml:space="preserve">LSTM</w:t>
            </w:r>
          </w:p>
        </w:tc>
        <w:tc>
          <w:tcPr/>
          <w:p>
            <w:pPr>
              <w:pStyle w:val="Compact"/>
              <w:jc w:val="right"/>
            </w:pPr>
            <w:r>
              <w:rPr>
                <w:b w:val="0"/>
                <w:sz w:val="18"/>
              </w:rPr>
              <w:t xml:space="preserve">13.1</w:t>
            </w:r>
          </w:p>
        </w:tc>
        <w:tc>
          <w:tcPr/>
          <w:p>
            <w:pPr>
              <w:pStyle w:val="Compact"/>
              <w:jc w:val="right"/>
            </w:pPr>
            <w:r>
              <w:rPr>
                <w:b w:val="0"/>
                <w:sz w:val="18"/>
              </w:rPr>
              <w:t xml:space="preserve">17.8</w:t>
            </w:r>
          </w:p>
        </w:tc>
        <w:tc>
          <w:tcPr/>
          <w:p>
            <w:pPr>
              <w:pStyle w:val="Compact"/>
              <w:jc w:val="right"/>
            </w:pPr>
            <w:r>
              <w:rPr>
                <w:b w:val="0"/>
                <w:sz w:val="18"/>
              </w:rPr>
              <w:t xml:space="preserve">8.3</w:t>
            </w:r>
          </w:p>
        </w:tc>
        <w:tc>
          <w:tcPr/>
          <w:p>
            <w:pPr>
              <w:pStyle w:val="Compact"/>
              <w:jc w:val="right"/>
            </w:pPr>
            <w:r>
              <w:rPr>
                <w:b w:val="0"/>
                <w:sz w:val="18"/>
              </w:rPr>
              <w:t xml:space="preserve">118.3</w:t>
            </w:r>
          </w:p>
        </w:tc>
        <w:tc>
          <w:tcPr/>
          <w:p>
            <w:pPr>
              <w:pStyle w:val="Compact"/>
              <w:jc w:val="right"/>
            </w:pPr>
            <w:r>
              <w:rPr>
                <w:b w:val="0"/>
                <w:sz w:val="18"/>
              </w:rPr>
              <w:t xml:space="preserve">3.6</w:t>
            </w:r>
          </w:p>
        </w:tc>
      </w:tr>
      <w:tr>
        <w:tc>
          <w:tcPr/>
          <w:p>
            <w:pPr>
              <w:pStyle w:val="Compact"/>
              <w:jc w:val="left"/>
            </w:pPr>
            <w:r>
              <w:rPr>
                <w:b w:val="0"/>
                <w:sz w:val="18"/>
              </w:rPr>
              <w:t xml:space="preserve">TCN</w:t>
            </w:r>
          </w:p>
        </w:tc>
        <w:tc>
          <w:tcPr/>
          <w:p>
            <w:pPr>
              <w:pStyle w:val="Compact"/>
              <w:jc w:val="right"/>
            </w:pPr>
            <w:r>
              <w:rPr>
                <w:b w:val="0"/>
                <w:sz w:val="18"/>
              </w:rPr>
              <w:t xml:space="preserve">12.4</w:t>
            </w:r>
          </w:p>
        </w:tc>
        <w:tc>
          <w:tcPr/>
          <w:p>
            <w:pPr>
              <w:pStyle w:val="Compact"/>
              <w:jc w:val="right"/>
            </w:pPr>
            <w:r>
              <w:rPr>
                <w:b w:val="0"/>
                <w:sz w:val="18"/>
              </w:rPr>
              <w:t xml:space="preserve">16.9</w:t>
            </w:r>
          </w:p>
        </w:tc>
        <w:tc>
          <w:tcPr/>
          <w:p>
            <w:pPr>
              <w:pStyle w:val="Compact"/>
              <w:jc w:val="right"/>
            </w:pPr>
            <w:r>
              <w:rPr>
                <w:b w:val="0"/>
                <w:sz w:val="18"/>
              </w:rPr>
              <w:t xml:space="preserve">7.9</w:t>
            </w:r>
          </w:p>
        </w:tc>
        <w:tc>
          <w:tcPr/>
          <w:p>
            <w:pPr>
              <w:pStyle w:val="Compact"/>
              <w:jc w:val="right"/>
            </w:pPr>
            <w:r>
              <w:rPr>
                <w:b w:val="0"/>
                <w:sz w:val="18"/>
              </w:rPr>
              <w:t xml:space="preserve">96.7</w:t>
            </w:r>
          </w:p>
        </w:tc>
        <w:tc>
          <w:tcPr/>
          <w:p>
            <w:pPr>
              <w:pStyle w:val="Compact"/>
              <w:jc w:val="right"/>
            </w:pPr>
            <w:r>
              <w:rPr>
                <w:b w:val="0"/>
                <w:sz w:val="18"/>
              </w:rPr>
              <w:t xml:space="preserve">2.8</w:t>
            </w:r>
          </w:p>
        </w:tc>
      </w:tr>
      <w:tr>
        <w:tc>
          <w:tcPr/>
          <w:p>
            <w:pPr>
              <w:pStyle w:val="Compact"/>
              <w:jc w:val="left"/>
            </w:pPr>
            <w:r>
              <w:rPr>
                <w:rFonts w:hint="eastAsia"/>
                <w:b w:val="0"/>
                <w:sz w:val="18"/>
              </w:rPr>
              <w:t xml:space="preserve">本文方法</w:t>
            </w:r>
          </w:p>
        </w:tc>
        <w:tc>
          <w:tcPr/>
          <w:p>
            <w:pPr>
              <w:pStyle w:val="Compact"/>
              <w:jc w:val="right"/>
            </w:pPr>
            <w:r>
              <w:rPr>
                <w:b w:val="0"/>
                <w:sz w:val="18"/>
              </w:rPr>
              <w:t xml:space="preserve">10.8</w:t>
            </w:r>
          </w:p>
        </w:tc>
        <w:tc>
          <w:tcPr/>
          <w:p>
            <w:pPr>
              <w:pStyle w:val="Compact"/>
              <w:jc w:val="right"/>
            </w:pPr>
            <w:r>
              <w:rPr>
                <w:b w:val="0"/>
                <w:sz w:val="18"/>
              </w:rPr>
              <w:t xml:space="preserve">14.5</w:t>
            </w:r>
          </w:p>
        </w:tc>
        <w:tc>
          <w:tcPr/>
          <w:p>
            <w:pPr>
              <w:pStyle w:val="Compact"/>
              <w:jc w:val="right"/>
            </w:pPr>
            <w:r>
              <w:rPr>
                <w:b w:val="0"/>
                <w:sz w:val="18"/>
              </w:rPr>
              <w:t xml:space="preserve">6.8</w:t>
            </w:r>
          </w:p>
        </w:tc>
        <w:tc>
          <w:tcPr/>
          <w:p>
            <w:pPr>
              <w:pStyle w:val="Compact"/>
              <w:jc w:val="right"/>
            </w:pPr>
            <w:r>
              <w:rPr>
                <w:b w:val="0"/>
                <w:sz w:val="18"/>
              </w:rPr>
              <w:t xml:space="preserve">124.6</w:t>
            </w:r>
          </w:p>
        </w:tc>
        <w:tc>
          <w:tcPr/>
          <w:p>
            <w:pPr>
              <w:pStyle w:val="Compact"/>
              <w:jc w:val="right"/>
            </w:pPr>
            <w:r>
              <w:rPr>
                <w:b w:val="0"/>
                <w:sz w:val="18"/>
              </w:rPr>
              <w:t xml:space="preserve">3.9</w:t>
            </w:r>
          </w:p>
        </w:tc>
      </w:tr>
    </w:tbl>
    <w:p>
      <w:pPr>
        <w:pStyle w:val="BodyText"/>
        <w:spacing w:line="360" w:lineRule="auto"/>
      </w:pPr>
      <w:r>
        <w:rPr>
          <w:rFonts w:hint="eastAsia"/>
        </w:rPr>
        <w:t xml:space="preserve">图1给出了一栋典型教学楼连续一周的预测值与实测值对比。所提方法准确捕捉了工作日双峰负荷与周末低谷，在晚自习时段的负荷爬坡段跟踪误差明显小于基线模型。</w:t>
      </w:r>
    </w:p>
    <w:p>
      <w:pPr>
        <w:pStyle w:val="BodyText"/>
        <w:spacing w:line="360" w:lineRule="auto"/>
      </w:pPr>
      <w:r>
        <w:drawing>
          <wp:inline>
            <wp:extent cx="2807999" cy="1930499"/>
            <wp:effectExtent b="0" l="0" r="0" t="0"/>
            <wp:docPr descr="" title="" id="15" name="Picture"/>
            <a:graphic>
              <a:graphicData uri="http://schemas.openxmlformats.org/drawingml/2006/picture">
                <pic:pic>
                  <pic:nvPicPr>
                    <pic:cNvPr descr="zh-stem-fig1.png" id="16" name="Picture"/>
                    <pic:cNvPicPr>
                      <a:picLocks noChangeArrowheads="1" noChangeAspect="1"/>
                    </pic:cNvPicPr>
                  </pic:nvPicPr>
                  <pic:blipFill>
                    <a:blip r:embed="rId14"/>
                    <a:stretch>
                      <a:fillRect/>
                    </a:stretch>
                  </pic:blipFill>
                  <pic:spPr bwMode="auto">
                    <a:xfrm>
                      <a:off x="0" y="0"/>
                      <a:ext cx="2807999" cy="1930499"/>
                    </a:xfrm>
                    <a:prstGeom prst="rect">
                      <a:avLst/>
                    </a:prstGeom>
                    <a:noFill/>
                    <a:ln w="9525">
                      <a:noFill/>
                      <a:headEnd/>
                      <a:tailEnd/>
                    </a:ln>
                  </pic:spPr>
                </pic:pic>
              </a:graphicData>
            </a:graphic>
          </wp:inline>
        </w:drawing>
      </w:r>
    </w:p>
    <w:p>
      <w:pPr>
        <w:pStyle w:val="BodyText"/>
        <w:spacing w:line="360" w:lineRule="auto"/>
      </w:pPr>
      <w:r>
        <w:rPr>
          <w:rFonts w:hint="eastAsia"/>
        </w:rPr>
        <w:t xml:space="preserve">图1</w:t>
      </w:r>
      <w:r>
        <w:t xml:space="preserve"> </w:t>
      </w:r>
      <w:r>
        <w:rPr>
          <w:rFonts w:hint="eastAsia"/>
        </w:rPr>
        <w:t xml:space="preserve">典型教学楼连续一周预测值与实测值对比</w:t>
      </w:r>
    </w:p>
    <w:p>
      <w:pPr>
        <w:pStyle w:val="BodyText"/>
        <w:spacing w:line="360" w:lineRule="auto"/>
      </w:pPr>
      <w:r>
        <w:t xml:space="preserve">Figure 1 Measured and predicted energy demand of a typical teaching building over one week</w:t>
      </w:r>
    </w:p>
    <w:bookmarkEnd w:id="17"/>
    <w:bookmarkStart w:id="21" w:name="极端气温条件下的稳健性"/>
    <w:p>
      <w:pPr>
        <w:pStyle w:val="Heading2"/>
        <w:spacing w:line="360" w:lineRule="auto"/>
      </w:pPr>
      <w:r>
        <w:rPr>
          <w:rFonts w:hint="eastAsia"/>
        </w:rPr>
        <w:t xml:space="preserve">极端气温条件下的稳健性</w:t>
      </w:r>
    </w:p>
    <w:p>
      <w:pPr>
        <w:pStyle w:val="FirstParagraph"/>
        <w:spacing w:line="360" w:lineRule="auto"/>
      </w:pPr>
      <w:r>
        <w:rPr>
          <w:rFonts w:hint="eastAsia"/>
        </w:rPr>
        <w:t xml:space="preserve">按室外日均温度将测试样本划分为五个区间，图2给出了各模型在不同气温区间的误差分布。在低于0</w:t>
      </w:r>
      <w:r>
        <w:t xml:space="preserve"> </w:t>
      </w:r>
      <w:r>
        <w:rPr>
          <w:rFonts w:hint="eastAsia"/>
        </w:rPr>
        <w:t xml:space="preserve">℃的寒潮时段与高于35</w:t>
      </w:r>
      <w:r>
        <w:t xml:space="preserve"> </w:t>
      </w:r>
      <w:r>
        <w:rPr>
          <w:rFonts w:hint="eastAsia"/>
        </w:rPr>
        <w:t xml:space="preserve">℃的高温时段，基线模型的MAPE分别上升至12.5%和11.8%，而所提方法仅上升至8.9%和8.4%，误差增幅不超过2.1个百分点。这表明人员与设备特征的引入有效补偿了极端气温下气象变量与负荷之间关系的非线性漂移。</w:t>
      </w:r>
    </w:p>
    <w:p>
      <w:pPr>
        <w:pStyle w:val="BodyText"/>
        <w:spacing w:line="360" w:lineRule="auto"/>
      </w:pPr>
      <w:r>
        <w:drawing>
          <wp:inline>
            <wp:extent cx="5334000" cy="1733761"/>
            <wp:effectExtent b="0" l="0" r="0" t="0"/>
            <wp:docPr descr="" title="" id="19" name="Picture"/>
            <a:graphic>
              <a:graphicData uri="http://schemas.openxmlformats.org/drawingml/2006/picture">
                <pic:pic>
                  <pic:nvPicPr>
                    <pic:cNvPr descr="zh-stem-fig2.png" id="20" name="Picture"/>
                    <pic:cNvPicPr>
                      <a:picLocks noChangeArrowheads="1" noChangeAspect="1"/>
                    </pic:cNvPicPr>
                  </pic:nvPicPr>
                  <pic:blipFill>
                    <a:blip r:embed="rId18"/>
                    <a:stretch>
                      <a:fillRect/>
                    </a:stretch>
                  </pic:blipFill>
                  <pic:spPr bwMode="auto">
                    <a:xfrm>
                      <a:off x="0" y="0"/>
                      <a:ext cx="5334000" cy="1733761"/>
                    </a:xfrm>
                    <a:prstGeom prst="rect">
                      <a:avLst/>
                    </a:prstGeom>
                    <a:noFill/>
                    <a:ln w="9525">
                      <a:noFill/>
                      <a:headEnd/>
                      <a:tailEnd/>
                    </a:ln>
                  </pic:spPr>
                </pic:pic>
              </a:graphicData>
            </a:graphic>
          </wp:inline>
        </w:drawing>
      </w:r>
    </w:p>
    <w:p>
      <w:pPr>
        <w:pStyle w:val="BodyText"/>
        <w:spacing w:line="360" w:lineRule="auto"/>
      </w:pPr>
      <w:r>
        <w:rPr>
          <w:rFonts w:hint="eastAsia"/>
        </w:rPr>
        <w:t xml:space="preserve">图2</w:t>
      </w:r>
      <w:r>
        <w:t xml:space="preserve"> </w:t>
      </w:r>
      <w:r>
        <w:rPr>
          <w:rFonts w:hint="eastAsia"/>
        </w:rPr>
        <w:t xml:space="preserve">不同气温区间各模型的误差分布（通栏图）</w:t>
      </w:r>
    </w:p>
    <w:p>
      <w:pPr>
        <w:pStyle w:val="BodyText"/>
        <w:spacing w:line="360" w:lineRule="auto"/>
      </w:pPr>
      <w:r>
        <w:t xml:space="preserve">Figure 2 Error distributions of the compared models across outdoor temperature ranges</w:t>
      </w:r>
    </w:p>
    <w:bookmarkEnd w:id="21"/>
    <w:bookmarkStart w:id="28" w:name="可解释性分析"/>
    <w:p>
      <w:pPr>
        <w:pStyle w:val="Heading2"/>
        <w:spacing w:line="360" w:lineRule="auto"/>
      </w:pPr>
      <w:r>
        <w:rPr>
          <w:rFonts w:hint="eastAsia"/>
        </w:rPr>
        <w:t xml:space="preserve">可解释性分析</w:t>
      </w:r>
    </w:p>
    <w:p>
      <w:pPr>
        <w:pStyle w:val="FirstParagraph"/>
        <w:spacing w:line="360" w:lineRule="auto"/>
      </w:pPr>
      <w:r>
        <w:rPr>
          <w:rFonts w:hint="eastAsia"/>
        </w:rPr>
        <w:t xml:space="preserve">多图组按“相邻放置＋逐图题注”方式提交，子图顺序由题注编号唯一确定。图3给出各输入变量的平均注意力权重：室外温度（0.23）与人员在室率（0.19）贡献最高，其后依次为太阳辐照度、空调启停状态与时刻编码。图4按建筑类型分解了预测误差：实验楼因设备负荷占比高、启停随机性强，误差高于教学楼与办公楼，提示后续应针对高设备占比建筑引入设备计划信息。</w:t>
      </w:r>
    </w:p>
    <w:p>
      <w:pPr>
        <w:pStyle w:val="BodyText"/>
        <w:spacing w:line="360" w:lineRule="auto"/>
      </w:pPr>
      <w:r>
        <w:drawing>
          <wp:inline>
            <wp:extent cx="2807999" cy="1930499"/>
            <wp:effectExtent b="0" l="0" r="0" t="0"/>
            <wp:docPr descr="" title="" id="23" name="Picture"/>
            <a:graphic>
              <a:graphicData uri="http://schemas.openxmlformats.org/drawingml/2006/picture">
                <pic:pic>
                  <pic:nvPicPr>
                    <pic:cNvPr descr="zh-stem-fig3a.png" id="24" name="Picture"/>
                    <pic:cNvPicPr>
                      <a:picLocks noChangeArrowheads="1" noChangeAspect="1"/>
                    </pic:cNvPicPr>
                  </pic:nvPicPr>
                  <pic:blipFill>
                    <a:blip r:embed="rId22"/>
                    <a:stretch>
                      <a:fillRect/>
                    </a:stretch>
                  </pic:blipFill>
                  <pic:spPr bwMode="auto">
                    <a:xfrm>
                      <a:off x="0" y="0"/>
                      <a:ext cx="2807999" cy="1930499"/>
                    </a:xfrm>
                    <a:prstGeom prst="rect">
                      <a:avLst/>
                    </a:prstGeom>
                    <a:noFill/>
                    <a:ln w="9525">
                      <a:noFill/>
                      <a:headEnd/>
                      <a:tailEnd/>
                    </a:ln>
                  </pic:spPr>
                </pic:pic>
              </a:graphicData>
            </a:graphic>
          </wp:inline>
        </w:drawing>
      </w:r>
      <w:r>
        <w:t xml:space="preserve"> </w:t>
      </w:r>
      <w:r>
        <w:drawing>
          <wp:inline>
            <wp:extent cx="2807999" cy="1930499"/>
            <wp:effectExtent b="0" l="0" r="0" t="0"/>
            <wp:docPr descr="" title="" id="26" name="Picture"/>
            <a:graphic>
              <a:graphicData uri="http://schemas.openxmlformats.org/drawingml/2006/picture">
                <pic:pic>
                  <pic:nvPicPr>
                    <pic:cNvPr descr="zh-stem-fig3b.png" id="27" name="Picture"/>
                    <pic:cNvPicPr>
                      <a:picLocks noChangeArrowheads="1" noChangeAspect="1"/>
                    </pic:cNvPicPr>
                  </pic:nvPicPr>
                  <pic:blipFill>
                    <a:blip r:embed="rId25"/>
                    <a:stretch>
                      <a:fillRect/>
                    </a:stretch>
                  </pic:blipFill>
                  <pic:spPr bwMode="auto">
                    <a:xfrm>
                      <a:off x="0" y="0"/>
                      <a:ext cx="2807999" cy="1930499"/>
                    </a:xfrm>
                    <a:prstGeom prst="rect">
                      <a:avLst/>
                    </a:prstGeom>
                    <a:noFill/>
                    <a:ln w="9525">
                      <a:noFill/>
                      <a:headEnd/>
                      <a:tailEnd/>
                    </a:ln>
                  </pic:spPr>
                </pic:pic>
              </a:graphicData>
            </a:graphic>
          </wp:inline>
        </w:drawing>
      </w:r>
    </w:p>
    <w:p>
      <w:pPr>
        <w:pStyle w:val="BodyText"/>
        <w:spacing w:line="360" w:lineRule="auto"/>
      </w:pPr>
      <w:r>
        <w:rPr>
          <w:rFonts w:hint="eastAsia"/>
        </w:rPr>
        <w:t xml:space="preserve">图3</w:t>
      </w:r>
      <w:r>
        <w:t xml:space="preserve"> </w:t>
      </w:r>
      <w:r>
        <w:rPr>
          <w:rFonts w:hint="eastAsia"/>
        </w:rPr>
        <w:t xml:space="preserve">各输入变量的平均注意力权重</w:t>
      </w:r>
    </w:p>
    <w:p>
      <w:pPr>
        <w:pStyle w:val="BodyText"/>
        <w:spacing w:line="360" w:lineRule="auto"/>
      </w:pPr>
      <w:r>
        <w:rPr>
          <w:rFonts w:hint="eastAsia"/>
        </w:rPr>
        <w:t xml:space="preserve">图4</w:t>
      </w:r>
      <w:r>
        <w:t xml:space="preserve"> </w:t>
      </w:r>
      <w:r>
        <w:rPr>
          <w:rFonts w:hint="eastAsia"/>
        </w:rPr>
        <w:t xml:space="preserve">不同建筑类型的预测误差分布</w:t>
      </w:r>
    </w:p>
    <w:bookmarkEnd w:id="28"/>
    <w:bookmarkStart w:id="29" w:name="消融实验"/>
    <w:p>
      <w:pPr>
        <w:pStyle w:val="Heading2"/>
        <w:spacing w:line="360" w:lineRule="auto"/>
      </w:pPr>
      <w:r>
        <w:rPr>
          <w:rFonts w:hint="eastAsia"/>
        </w:rPr>
        <w:t xml:space="preserve">消融实验</w:t>
      </w:r>
    </w:p>
    <w:p>
      <w:pPr>
        <w:pStyle w:val="FirstParagraph"/>
        <w:spacing w:line="360" w:lineRule="auto"/>
      </w:pPr>
      <w:r>
        <w:rPr>
          <w:rFonts w:hint="eastAsia"/>
        </w:rPr>
        <w:t xml:space="preserve">为验证各设计成分的必要性，表2给出了消融实验结果。移除人员特征后MAPE上升1.3个百分点，移除注意力机制后上升0.8个百分点，仅保留环境特征时性能退化至与LSTM基线相当，说明多源融合与注意力机制的增益是叠加的。</w:t>
      </w:r>
    </w:p>
    <w:p>
      <w:pPr>
        <w:pStyle w:val="BodyText"/>
        <w:spacing w:line="360" w:lineRule="auto"/>
      </w:pPr>
      <w:r>
        <w:rPr>
          <w:rFonts w:hint="eastAsia"/>
        </w:rPr>
        <w:t xml:space="preserve">表2</w:t>
      </w:r>
      <w:r>
        <w:t xml:space="preserve"> </w:t>
      </w:r>
      <w:r>
        <w:rPr>
          <w:rFonts w:hint="eastAsia"/>
        </w:rPr>
        <w:t xml:space="preserve">消融实验结果</w:t>
      </w:r>
    </w:p>
    <w:p>
      <w:pPr>
        <w:pStyle w:val="BodyText"/>
        <w:spacing w:line="360" w:lineRule="auto"/>
      </w:pPr>
      <w:r>
        <w:t xml:space="preserve">Table 2 Ablation study results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rPr>
                <w:rFonts w:hint="eastAsia"/>
                <w:b/>
                <w:sz w:val="18"/>
              </w:rPr>
              <w:t xml:space="preserve">配置</w:t>
            </w:r>
          </w:p>
        </w:tc>
        <w:tc>
          <w:tcPr/>
          <w:p>
            <w:pPr>
              <w:pStyle w:val="Compact"/>
              <w:jc w:val="right"/>
            </w:pPr>
            <w:r>
              <w:rPr>
                <w:b/>
                <w:sz w:val="18"/>
              </w:rPr>
              <w:t xml:space="preserve">MAE/(kW·h)</w:t>
            </w:r>
          </w:p>
        </w:tc>
        <w:tc>
          <w:tcPr/>
          <w:p>
            <w:pPr>
              <w:pStyle w:val="Compact"/>
              <w:jc w:val="right"/>
            </w:pPr>
            <w:r>
              <w:rPr>
                <w:b/>
                <w:sz w:val="18"/>
              </w:rPr>
              <w:t xml:space="preserve">MAPE/%</w:t>
            </w:r>
          </w:p>
        </w:tc>
      </w:tr>
      <w:tr>
        <w:tc>
          <w:tcPr/>
          <w:p>
            <w:pPr>
              <w:pStyle w:val="Compact"/>
              <w:jc w:val="left"/>
            </w:pPr>
            <w:r>
              <w:rPr>
                <w:rFonts w:hint="eastAsia"/>
                <w:b w:val="0"/>
                <w:sz w:val="18"/>
              </w:rPr>
              <w:t xml:space="preserve">完整模型</w:t>
            </w:r>
          </w:p>
        </w:tc>
        <w:tc>
          <w:tcPr/>
          <w:p>
            <w:pPr>
              <w:pStyle w:val="Compact"/>
              <w:jc w:val="right"/>
            </w:pPr>
            <w:r>
              <w:rPr>
                <w:b w:val="0"/>
                <w:sz w:val="18"/>
              </w:rPr>
              <w:t xml:space="preserve">10.8</w:t>
            </w:r>
          </w:p>
        </w:tc>
        <w:tc>
          <w:tcPr/>
          <w:p>
            <w:pPr>
              <w:pStyle w:val="Compact"/>
              <w:jc w:val="right"/>
            </w:pPr>
            <w:r>
              <w:rPr>
                <w:b w:val="0"/>
                <w:sz w:val="18"/>
              </w:rPr>
              <w:t xml:space="preserve">6.8</w:t>
            </w:r>
          </w:p>
        </w:tc>
      </w:tr>
      <w:tr>
        <w:tc>
          <w:tcPr/>
          <w:p>
            <w:pPr>
              <w:pStyle w:val="Compact"/>
              <w:jc w:val="left"/>
            </w:pPr>
            <w:r>
              <w:rPr>
                <w:rFonts w:hint="eastAsia"/>
                <w:b w:val="0"/>
                <w:sz w:val="18"/>
              </w:rPr>
              <w:t xml:space="preserve">移除人员特征</w:t>
            </w:r>
          </w:p>
        </w:tc>
        <w:tc>
          <w:tcPr/>
          <w:p>
            <w:pPr>
              <w:pStyle w:val="Compact"/>
              <w:jc w:val="right"/>
            </w:pPr>
            <w:r>
              <w:rPr>
                <w:b w:val="0"/>
                <w:sz w:val="18"/>
              </w:rPr>
              <w:t xml:space="preserve">12.7</w:t>
            </w:r>
          </w:p>
        </w:tc>
        <w:tc>
          <w:tcPr/>
          <w:p>
            <w:pPr>
              <w:pStyle w:val="Compact"/>
              <w:jc w:val="right"/>
            </w:pPr>
            <w:r>
              <w:rPr>
                <w:b w:val="0"/>
                <w:sz w:val="18"/>
              </w:rPr>
              <w:t xml:space="preserve">8.1</w:t>
            </w:r>
          </w:p>
        </w:tc>
      </w:tr>
      <w:tr>
        <w:tc>
          <w:tcPr/>
          <w:p>
            <w:pPr>
              <w:pStyle w:val="Compact"/>
              <w:jc w:val="left"/>
            </w:pPr>
            <w:r>
              <w:rPr>
                <w:rFonts w:hint="eastAsia"/>
                <w:b w:val="0"/>
                <w:sz w:val="18"/>
              </w:rPr>
              <w:t xml:space="preserve">移除设备特征</w:t>
            </w:r>
          </w:p>
        </w:tc>
        <w:tc>
          <w:tcPr/>
          <w:p>
            <w:pPr>
              <w:pStyle w:val="Compact"/>
              <w:jc w:val="right"/>
            </w:pPr>
            <w:r>
              <w:rPr>
                <w:b w:val="0"/>
                <w:sz w:val="18"/>
              </w:rPr>
              <w:t xml:space="preserve">11.9</w:t>
            </w:r>
          </w:p>
        </w:tc>
        <w:tc>
          <w:tcPr/>
          <w:p>
            <w:pPr>
              <w:pStyle w:val="Compact"/>
              <w:jc w:val="right"/>
            </w:pPr>
            <w:r>
              <w:rPr>
                <w:b w:val="0"/>
                <w:sz w:val="18"/>
              </w:rPr>
              <w:t xml:space="preserve">7.6</w:t>
            </w:r>
          </w:p>
        </w:tc>
      </w:tr>
      <w:tr>
        <w:tc>
          <w:tcPr/>
          <w:p>
            <w:pPr>
              <w:pStyle w:val="Compact"/>
              <w:jc w:val="left"/>
            </w:pPr>
            <w:r>
              <w:rPr>
                <w:rFonts w:hint="eastAsia"/>
                <w:b w:val="0"/>
                <w:sz w:val="18"/>
              </w:rPr>
              <w:t xml:space="preserve">移除注意力机制</w:t>
            </w:r>
          </w:p>
        </w:tc>
        <w:tc>
          <w:tcPr/>
          <w:p>
            <w:pPr>
              <w:pStyle w:val="Compact"/>
              <w:jc w:val="right"/>
            </w:pPr>
            <w:r>
              <w:rPr>
                <w:b w:val="0"/>
                <w:sz w:val="18"/>
              </w:rPr>
              <w:t xml:space="preserve">11.8</w:t>
            </w:r>
          </w:p>
        </w:tc>
        <w:tc>
          <w:tcPr/>
          <w:p>
            <w:pPr>
              <w:pStyle w:val="Compact"/>
              <w:jc w:val="right"/>
            </w:pPr>
            <w:r>
              <w:rPr>
                <w:b w:val="0"/>
                <w:sz w:val="18"/>
              </w:rPr>
              <w:t xml:space="preserve">7.6</w:t>
            </w:r>
          </w:p>
        </w:tc>
      </w:tr>
      <w:tr>
        <w:tc>
          <w:tcPr/>
          <w:p>
            <w:pPr>
              <w:pStyle w:val="Compact"/>
              <w:jc w:val="left"/>
            </w:pPr>
            <w:r>
              <w:rPr>
                <w:rFonts w:hint="eastAsia"/>
                <w:b w:val="0"/>
                <w:sz w:val="18"/>
              </w:rPr>
              <w:t xml:space="preserve">仅环境特征</w:t>
            </w:r>
          </w:p>
        </w:tc>
        <w:tc>
          <w:tcPr/>
          <w:p>
            <w:pPr>
              <w:pStyle w:val="Compact"/>
              <w:jc w:val="right"/>
            </w:pPr>
            <w:r>
              <w:rPr>
                <w:b w:val="0"/>
                <w:sz w:val="18"/>
              </w:rPr>
              <w:t xml:space="preserve">13.2</w:t>
            </w:r>
          </w:p>
        </w:tc>
        <w:tc>
          <w:tcPr/>
          <w:p>
            <w:pPr>
              <w:pStyle w:val="Compact"/>
              <w:jc w:val="right"/>
            </w:pPr>
            <w:r>
              <w:rPr>
                <w:b w:val="0"/>
                <w:sz w:val="18"/>
              </w:rPr>
              <w:t xml:space="preserve">8.4</w:t>
            </w:r>
          </w:p>
        </w:tc>
      </w:tr>
    </w:tbl>
    <w:bookmarkEnd w:id="29"/>
    <w:bookmarkEnd w:id="30"/>
    <w:bookmarkStart w:id="31" w:name="讨论"/>
    <w:p>
      <w:pPr>
        <w:pStyle w:val="Heading1"/>
        <w:spacing w:line="360" w:lineRule="auto"/>
      </w:pPr>
      <w:r>
        <w:rPr>
          <w:rFonts w:hint="eastAsia"/>
        </w:rPr>
        <w:t xml:space="preserve">讨论</w:t>
      </w:r>
    </w:p>
    <w:p>
      <w:pPr>
        <w:pStyle w:val="FirstParagraph"/>
        <w:spacing w:line="360" w:lineRule="auto"/>
      </w:pPr>
      <w:r>
        <w:rPr>
          <w:rFonts w:hint="eastAsia"/>
        </w:rPr>
        <w:t xml:space="preserve">注意力权重的分析结果与领域先验一致：室外温度决定空调基础负荷，人员在室率决定照明与插座负荷的时变部分，这与已有学位论文基于多源数据融合的结论相互印证[4]，注意力机制在校园微电网负荷预测中的有效性也得到会议研究的支持[5]。与上述工作相比，本文进一步量化了极端气温条件下多源特征的稳健性增益，并给出了按建筑类型分解的误差画像。</w:t>
      </w:r>
    </w:p>
    <w:p>
      <w:pPr>
        <w:pStyle w:val="BodyText"/>
        <w:spacing w:line="360" w:lineRule="auto"/>
        <w:ind w:firstLine="420"/>
      </w:pPr>
      <w:r>
        <w:rPr>
          <w:rFonts w:hint="eastAsia"/>
        </w:rPr>
        <w:t xml:space="preserve">需要说明的是，宽图和宽表在稿件中只保留结构语义，是否跨栏由排版阶段根据版心宽度和图片有效分辨率决定；作者提交时应保证图片原始分辨率满足预期印刷宽度的要求。本研究的局限在于：数据来自单一校园，气候区代表性有限；人员特征依赖无线网络连接数的间接估计，在假期短课时段可能低估在室率。</w:t>
      </w:r>
    </w:p>
    <w:bookmarkEnd w:id="31"/>
    <w:bookmarkStart w:id="32" w:name="结论"/>
    <w:p>
      <w:pPr>
        <w:pStyle w:val="Heading1"/>
        <w:spacing w:line="360" w:lineRule="auto"/>
      </w:pPr>
      <w:r>
        <w:rPr>
          <w:rFonts w:hint="eastAsia"/>
        </w:rPr>
        <w:t xml:space="preserve">结论</w:t>
      </w:r>
    </w:p>
    <w:p>
      <w:pPr>
        <w:pStyle w:val="FirstParagraph"/>
        <w:spacing w:line="360" w:lineRule="auto"/>
      </w:pPr>
      <w:r>
        <w:rPr>
          <w:rFonts w:hint="eastAsia"/>
        </w:rPr>
        <w:t xml:space="preserve">本文提出了融合环境、人员与设备信息的校园建筑能耗预测方法，通过统一预处理流水线与变量级注意力机制，在12栋教学建筑的实测数据上将MAPE降至6.8%，并在极端气温条件下保持稳健。在全球建筑运行能耗持续增长的背景下[6]，该方法可直接服务于校园能源调度与需求响应。后续工作将扩大气候区与建筑类型覆盖，并结合模型预测控制开展在线节能实验。</w:t>
      </w:r>
    </w:p>
    <w:bookmarkEnd w:id="32"/>
    <w:bookmarkStart w:id="33" w:name="数据可用性声明"/>
    <w:p>
      <w:pPr>
        <w:pStyle w:val="Heading1"/>
        <w:spacing w:line="360" w:lineRule="auto"/>
      </w:pPr>
      <w:r>
        <w:rPr>
          <w:rFonts w:hint="eastAsia"/>
        </w:rPr>
        <w:t xml:space="preserve">数据可用性声明</w:t>
      </w:r>
    </w:p>
    <w:p>
      <w:pPr>
        <w:pStyle w:val="FirstParagraph"/>
        <w:spacing w:line="360" w:lineRule="auto"/>
      </w:pPr>
      <w:r>
        <w:rPr>
          <w:rFonts w:hint="eastAsia"/>
        </w:rPr>
        <w:t xml:space="preserve">脱敏特征数据、训练代码和字段说明将在录用后存入机构知识库，并提供持久标识符供审稿与复现使用。</w:t>
      </w:r>
    </w:p>
    <w:bookmarkEnd w:id="33"/>
    <w:bookmarkStart w:id="34" w:name="伦理与利益冲突声明"/>
    <w:p>
      <w:pPr>
        <w:pStyle w:val="Heading1"/>
        <w:spacing w:line="360" w:lineRule="auto"/>
      </w:pPr>
      <w:r>
        <w:rPr>
          <w:rFonts w:hint="eastAsia"/>
        </w:rPr>
        <w:t xml:space="preserve">伦理与利益冲突声明</w:t>
      </w:r>
    </w:p>
    <w:p>
      <w:pPr>
        <w:pStyle w:val="FirstParagraph"/>
        <w:spacing w:line="360" w:lineRule="auto"/>
      </w:pPr>
      <w:r>
        <w:rPr>
          <w:rFonts w:hint="eastAsia"/>
        </w:rPr>
        <w:t xml:space="preserve">本研究不涉及人体或动物实验，人员类数据均经匿名化聚合处理。作者声明不存在利益冲突。</w:t>
      </w:r>
    </w:p>
    <w:bookmarkEnd w:id="34"/>
    <w:bookmarkStart w:id="35" w:name="参考文献"/>
    <w:p>
      <w:pPr>
        <w:pStyle w:val="Heading1"/>
        <w:spacing w:line="360" w:lineRule="auto"/>
      </w:pPr>
      <w:r>
        <w:rPr>
          <w:rFonts w:hint="eastAsia"/>
        </w:rPr>
        <w:t xml:space="preserve">参考文献</w:t>
      </w:r>
    </w:p>
    <w:p>
      <w:pPr>
        <w:pStyle w:val="FirstParagraph"/>
        <w:spacing w:line="360" w:lineRule="auto"/>
      </w:pPr>
      <w:r>
        <w:t xml:space="preserve">[1] </w:t>
      </w:r>
      <w:r>
        <w:rPr>
          <w:rFonts w:hint="eastAsia"/>
        </w:rPr>
        <w:t xml:space="preserve">李华，张伟．建筑能耗预测的深度学习方法综述［J］．暖通空调，2024，54（6）：12-24．</w:t>
      </w:r>
    </w:p>
    <w:p>
      <w:pPr>
        <w:pStyle w:val="BodyText"/>
        <w:spacing w:line="360" w:lineRule="auto"/>
      </w:pPr>
      <w:r>
        <w:t xml:space="preserve">[2] </w:t>
      </w:r>
      <w:r>
        <w:rPr>
          <w:rFonts w:hint="eastAsia"/>
        </w:rPr>
        <w:t xml:space="preserve">龙惟定．建筑节能与低碳建筑［M］．北京：中国建筑工业出版社，2022：88-102．</w:t>
      </w:r>
    </w:p>
    <w:p>
      <w:pPr>
        <w:pStyle w:val="BodyText"/>
        <w:spacing w:line="360" w:lineRule="auto"/>
      </w:pPr>
      <w:r>
        <w:t xml:space="preserve">[3] </w:t>
      </w:r>
      <w:r>
        <w:rPr>
          <w:rFonts w:hint="eastAsia"/>
        </w:rPr>
        <w:t xml:space="preserve">住房和城乡建设部．公共建筑节能设计标准：GB</w:t>
      </w:r>
      <w:r>
        <w:t xml:space="preserve"> </w:t>
      </w:r>
      <w:r>
        <w:rPr>
          <w:rFonts w:hint="eastAsia"/>
        </w:rPr>
        <w:t xml:space="preserve">50189—2015［S］．北京：中国建筑工业出版社，2015．</w:t>
      </w:r>
    </w:p>
    <w:p>
      <w:pPr>
        <w:pStyle w:val="BodyText"/>
        <w:spacing w:line="360" w:lineRule="auto"/>
      </w:pPr>
      <w:r>
        <w:t xml:space="preserve">[4] </w:t>
      </w:r>
      <w:r>
        <w:rPr>
          <w:rFonts w:hint="eastAsia"/>
        </w:rPr>
        <w:t xml:space="preserve">陈晓．基于多源数据融合的校园建筑能耗预测研究［D］．南京：东南大学，2024．</w:t>
      </w:r>
    </w:p>
    <w:p>
      <w:pPr>
        <w:pStyle w:val="BodyText"/>
        <w:spacing w:line="360" w:lineRule="auto"/>
      </w:pPr>
      <w:r>
        <w:t xml:space="preserve">[5] WANG </w:t>
      </w:r>
      <w:r>
        <w:rPr>
          <w:rFonts w:hint="eastAsia"/>
        </w:rPr>
        <w:t xml:space="preserve">Y，CHEN</w:t>
      </w:r>
      <w:r>
        <w:t xml:space="preserve"> L. Attention-based load forecasting for campus </w:t>
      </w:r>
      <w:r>
        <w:rPr>
          <w:rFonts w:hint="eastAsia"/>
        </w:rPr>
        <w:t xml:space="preserve">microgrids［C］//Proceedings</w:t>
      </w:r>
      <w:r>
        <w:t xml:space="preserve"> of the 2025 IEEE International Conference on Smart Energy Systems. New </w:t>
      </w:r>
      <w:r>
        <w:rPr>
          <w:rFonts w:hint="eastAsia"/>
        </w:rPr>
        <w:t xml:space="preserve">York：IEEE，2025：341-349．</w:t>
      </w:r>
    </w:p>
    <w:p>
      <w:pPr>
        <w:pStyle w:val="BodyText"/>
        <w:spacing w:line="360" w:lineRule="auto"/>
      </w:pPr>
      <w:r>
        <w:t xml:space="preserve">[6] </w:t>
      </w:r>
      <w:r>
        <w:rPr>
          <w:rFonts w:hint="eastAsia"/>
        </w:rPr>
        <w:t xml:space="preserve">国际能源署．全球建筑运行能耗报告［EB/OL］．（2025-03-12）［2026-07-01］．https://www.iea.org/reports/．</w:t>
      </w:r>
    </w:p>
    <w:p>
      <w:pPr>
        <w:pStyle w:val="BodyText"/>
        <w:spacing w:line="360" w:lineRule="auto"/>
        <w:ind w:firstLine="420"/>
      </w:pPr>
      <w:r>
        <w:rPr>
          <w:b/>
          <w:bCs/>
        </w:rPr>
        <w:t xml:space="preserve">Energy Consumption Forecasting for Campus Buildings Based on Multi-source Sensor Data</w:t>
      </w:r>
    </w:p>
    <w:p>
      <w:pPr>
        <w:pStyle w:val="BodyText"/>
        <w:spacing w:line="360" w:lineRule="auto"/>
        <w:ind w:firstLine="420"/>
      </w:pPr>
      <w:r>
        <w:t xml:space="preserve">LIU Chen</w:t>
      </w:r>
      <w:r>
        <w:rPr>
          <w:vertAlign w:val="superscript"/>
        </w:rPr>
        <w:t xml:space="preserve">1</w:t>
      </w:r>
      <w:r>
        <w:t xml:space="preserve">, ZHAO Kai</w:t>
      </w:r>
      <w:r>
        <w:rPr>
          <w:vertAlign w:val="superscript"/>
        </w:rPr>
        <w:t xml:space="preserve">1,2</w:t>
      </w:r>
    </w:p>
    <w:p>
      <w:pPr>
        <w:pStyle w:val="BodyText"/>
        <w:spacing w:line="360" w:lineRule="auto"/>
        <w:ind w:firstLine="420"/>
      </w:pPr>
      <w:r>
        <w:t xml:space="preserve">(1. School of Energy and Environment, Jiangnan Institute of Technology, Wuxi 214122, China; 2. Jiangsu Key Laboratory of Building Energy Efficiency, Wuxi 214122, China)</w:t>
      </w:r>
    </w:p>
    <w:p>
      <w:pPr>
        <w:pStyle w:val="BodyText"/>
        <w:spacing w:line="360" w:lineRule="auto"/>
      </w:pPr>
      <w:r>
        <w:t xml:space="preserve">Abstract: A multi-source time-series forecasting method is proposed to address heterogeneous data sources, short-term fluctuations and limited interpretability in campus building energy prediction. Environmental, occupancy and equipment measurements are aligned on a common 15-min timeline through a unified preprocessing pipeline, encoded by a gated recurrent network, and weighted by variable-level attention. Validation on eighteen months of monitoring data from twelve teaching buildings yields a mean absolute percentage error of 6.8%, an 18.4% reduction from the LSTM baseline, with error growth bounded by 2.1 percentage points under extreme outdoor temperatures. Attention analysis identifies outdoor temperature and occupancy rate as the dominant short-term drivers, providing a quantitative basis for campus energy scheduling and energy-saving control.</w:t>
      </w:r>
    </w:p>
    <w:p>
      <w:pPr>
        <w:pStyle w:val="BodyText"/>
        <w:spacing w:line="360" w:lineRule="auto"/>
        <w:ind w:firstLine="420"/>
      </w:pPr>
      <w:r>
        <w:t xml:space="preserve">Key words: building energy consumption; multi-source data; time series; attention mechanism; energy-efficient control</w:t>
      </w:r>
    </w:p>
    <w:bookmarkEnd w:id="35"/>
    <w:sectPr>
      <w:footnotePr>
        <w:numRestart w:val="eachSect"/>
      </w:footnotePr>
      <w:pgSz w:w="11906" w:h="16838"/>
      <w:pgMar w:top="1440" w:bottom="1440" w:left="1440" w:right="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Times New Roman" w:hAnsi="Times New Roman" w:eastAsia="宋体"/>
      <w:sz w:val="21"/>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ascii="Times New Roman" w:hAnsi="Times New Roman" w:eastAsia="黑体"/>
      <w:b/>
      <w:color w:val="000000"/>
      <w:sz w:val="3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ascii="Times New Roman" w:hAnsi="Times New Roman" w:eastAsia="黑体"/>
      <w:b/>
      <w:color w:val="000000"/>
      <w:sz w:val="28"/>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ascii="Times New Roman" w:hAnsi="Times New Roman" w:eastAsia="黑体"/>
      <w:b/>
      <w:color w:val="000000"/>
      <w:sz w:val="24"/>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ascii="Times New Roman" w:hAnsi="Times New Roman" w:eastAsia="黑体"/>
      <w:b/>
      <w:color w:val="000000"/>
      <w:sz w:val="21"/>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4" Type="http://schemas.openxmlformats.org/officeDocument/2006/relationships/image" Target="media/rId14.png"/><Relationship Id="rId18" Type="http://schemas.openxmlformats.org/officeDocument/2006/relationships/image" Target="media/rId18.png"/><Relationship Id="rId22" Type="http://schemas.openxmlformats.org/officeDocument/2006/relationships/image" Target="media/rId22.png"/><Relationship Id="rId25" Type="http://schemas.openxmlformats.org/officeDocument/2006/relationships/image" Target="media/rId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2026-07-18T19:18:52Z</dcterms:created>
  <dcterms:modified xsi:type="dcterms:W3CDTF">2026-07-18T19:18:52Z</dcterms:modified>
</cp:coreProperties>
</file>

<file path=docProps/custom.xml><?xml version="1.0" encoding="utf-8"?>
<Properties xmlns="http://schemas.openxmlformats.org/officeDocument/2006/custom-properties" xmlns:vt="http://schemas.openxmlformats.org/officeDocument/2006/docPropsVTypes"/>
</file>